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649" w:rsidRDefault="00165649" w:rsidP="00165649">
      <w:pPr>
        <w:spacing w:before="0" w:after="0" w:line="240" w:lineRule="auto"/>
        <w:rPr>
          <w:sz w:val="16"/>
          <w:szCs w:val="16"/>
        </w:rPr>
      </w:pPr>
    </w:p>
    <w:p w:rsidR="00165649" w:rsidRDefault="00165649" w:rsidP="00165649">
      <w:pPr>
        <w:spacing w:before="0" w:after="0" w:line="240" w:lineRule="auto"/>
        <w:ind w:left="6481" w:firstLine="720"/>
        <w:rPr>
          <w:sz w:val="16"/>
          <w:szCs w:val="16"/>
        </w:rPr>
      </w:pPr>
    </w:p>
    <w:p w:rsidR="00165649" w:rsidRDefault="00165649" w:rsidP="00165649">
      <w:pPr>
        <w:spacing w:before="0" w:after="0" w:line="240" w:lineRule="auto"/>
        <w:ind w:left="7200"/>
        <w:rPr>
          <w:sz w:val="16"/>
          <w:szCs w:val="16"/>
        </w:rPr>
      </w:pPr>
      <w:r>
        <w:rPr>
          <w:b/>
          <w:noProof/>
          <w:sz w:val="16"/>
          <w:szCs w:val="16"/>
          <w:lang w:val="en-ZA" w:eastAsia="en-ZA"/>
        </w:rPr>
        <w:drawing>
          <wp:anchor distT="0" distB="0" distL="114300" distR="114300" simplePos="0" relativeHeight="251660288" behindDoc="1" locked="0" layoutInCell="1" allowOverlap="1" wp14:anchorId="6B44630A" wp14:editId="39986E25">
            <wp:simplePos x="0" y="0"/>
            <wp:positionH relativeFrom="column">
              <wp:posOffset>629285</wp:posOffset>
            </wp:positionH>
            <wp:positionV relativeFrom="paragraph">
              <wp:posOffset>92075</wp:posOffset>
            </wp:positionV>
            <wp:extent cx="2065020" cy="7454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5020" cy="745490"/>
                    </a:xfrm>
                    <a:prstGeom prst="rect">
                      <a:avLst/>
                    </a:prstGeom>
                    <a:noFill/>
                    <a:ln>
                      <a:noFill/>
                    </a:ln>
                  </pic:spPr>
                </pic:pic>
              </a:graphicData>
            </a:graphic>
          </wp:anchor>
        </w:drawing>
      </w:r>
    </w:p>
    <w:p w:rsidR="00165649" w:rsidRDefault="00165649" w:rsidP="00165649">
      <w:pPr>
        <w:spacing w:before="0" w:after="0" w:line="240" w:lineRule="auto"/>
        <w:ind w:left="7200"/>
        <w:rPr>
          <w:sz w:val="16"/>
          <w:szCs w:val="16"/>
        </w:rPr>
      </w:pPr>
      <w:r>
        <w:rPr>
          <w:rFonts w:asciiTheme="minorHAnsi" w:hAnsiTheme="minorHAnsi" w:cstheme="minorBidi"/>
          <w:noProof/>
          <w:sz w:val="16"/>
          <w:szCs w:val="16"/>
          <w:lang w:val="en-ZA" w:eastAsia="en-ZA"/>
        </w:rPr>
        <w:drawing>
          <wp:anchor distT="0" distB="0" distL="114300" distR="114300" simplePos="0" relativeHeight="251661312" behindDoc="1" locked="0" layoutInCell="1" allowOverlap="1" wp14:anchorId="220EAF49" wp14:editId="2867592A">
            <wp:simplePos x="0" y="0"/>
            <wp:positionH relativeFrom="column">
              <wp:posOffset>3025775</wp:posOffset>
            </wp:positionH>
            <wp:positionV relativeFrom="paragraph">
              <wp:posOffset>21479</wp:posOffset>
            </wp:positionV>
            <wp:extent cx="2033270" cy="643255"/>
            <wp:effectExtent l="0" t="0" r="5080" b="4445"/>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033270" cy="643255"/>
                    </a:xfrm>
                    <a:prstGeom prst="rect">
                      <a:avLst/>
                    </a:prstGeom>
                  </pic:spPr>
                </pic:pic>
              </a:graphicData>
            </a:graphic>
          </wp:anchor>
        </w:drawing>
      </w:r>
    </w:p>
    <w:p w:rsidR="00165649" w:rsidRDefault="00165649" w:rsidP="00165649">
      <w:pPr>
        <w:spacing w:before="0" w:after="0" w:line="480" w:lineRule="auto"/>
        <w:ind w:left="7200"/>
        <w:rPr>
          <w:sz w:val="16"/>
          <w:szCs w:val="16"/>
        </w:rPr>
      </w:pPr>
    </w:p>
    <w:p w:rsidR="00165649" w:rsidRDefault="00165649" w:rsidP="00165649">
      <w:pPr>
        <w:spacing w:before="0" w:after="0" w:line="480" w:lineRule="auto"/>
        <w:jc w:val="center"/>
        <w:rPr>
          <w:b/>
          <w:sz w:val="40"/>
          <w:szCs w:val="40"/>
        </w:rPr>
      </w:pPr>
    </w:p>
    <w:p w:rsidR="00165649" w:rsidRPr="006368ED" w:rsidRDefault="00165649" w:rsidP="00165649">
      <w:pPr>
        <w:spacing w:before="0" w:after="0" w:line="480" w:lineRule="auto"/>
        <w:jc w:val="center"/>
        <w:rPr>
          <w:b/>
          <w:sz w:val="40"/>
          <w:szCs w:val="40"/>
        </w:rPr>
      </w:pPr>
      <w:r>
        <w:rPr>
          <w:b/>
          <w:sz w:val="40"/>
          <w:szCs w:val="40"/>
        </w:rPr>
        <w:t>Inflammation and Cardiac Troponin T facilitate</w:t>
      </w:r>
      <w:r w:rsidR="000C1500">
        <w:rPr>
          <w:b/>
          <w:sz w:val="40"/>
          <w:szCs w:val="40"/>
        </w:rPr>
        <w:t xml:space="preserve"> Myocardial</w:t>
      </w:r>
      <w:r>
        <w:rPr>
          <w:b/>
          <w:sz w:val="40"/>
          <w:szCs w:val="40"/>
        </w:rPr>
        <w:t xml:space="preserve"> Stress: The SABPA prospective study</w:t>
      </w:r>
    </w:p>
    <w:p w:rsidR="00165649" w:rsidRDefault="00165649" w:rsidP="00165649">
      <w:pPr>
        <w:spacing w:before="0" w:after="0" w:line="480" w:lineRule="auto"/>
        <w:jc w:val="center"/>
      </w:pPr>
      <w:r>
        <w:t>Running head: Myocardial injury and inflammation</w:t>
      </w:r>
    </w:p>
    <w:p w:rsidR="00165649" w:rsidRDefault="00165649" w:rsidP="00165649">
      <w:pPr>
        <w:spacing w:before="0" w:after="0" w:line="480" w:lineRule="auto"/>
        <w:rPr>
          <w:sz w:val="28"/>
          <w:szCs w:val="28"/>
          <w:vertAlign w:val="superscript"/>
        </w:rPr>
      </w:pPr>
    </w:p>
    <w:p w:rsidR="00165649" w:rsidRDefault="00165649" w:rsidP="00165649">
      <w:pPr>
        <w:spacing w:before="0" w:after="0" w:line="480" w:lineRule="auto"/>
        <w:jc w:val="center"/>
        <w:rPr>
          <w:sz w:val="28"/>
          <w:szCs w:val="28"/>
        </w:rPr>
      </w:pPr>
      <w:r>
        <w:rPr>
          <w:sz w:val="28"/>
          <w:szCs w:val="28"/>
          <w:vertAlign w:val="superscript"/>
        </w:rPr>
        <w:t>1</w:t>
      </w:r>
      <w:r>
        <w:rPr>
          <w:sz w:val="28"/>
          <w:szCs w:val="28"/>
        </w:rPr>
        <w:t xml:space="preserve">Esmé Jansen van </w:t>
      </w:r>
      <w:proofErr w:type="spellStart"/>
      <w:r>
        <w:rPr>
          <w:sz w:val="28"/>
          <w:szCs w:val="28"/>
        </w:rPr>
        <w:t>Vuren</w:t>
      </w:r>
      <w:proofErr w:type="spellEnd"/>
      <w:r>
        <w:rPr>
          <w:sz w:val="28"/>
          <w:szCs w:val="28"/>
        </w:rPr>
        <w:t xml:space="preserve"> (BSc </w:t>
      </w:r>
      <w:proofErr w:type="spellStart"/>
      <w:r>
        <w:rPr>
          <w:sz w:val="28"/>
          <w:szCs w:val="28"/>
        </w:rPr>
        <w:t>Hons</w:t>
      </w:r>
      <w:proofErr w:type="spellEnd"/>
      <w:r>
        <w:rPr>
          <w:sz w:val="28"/>
          <w:szCs w:val="28"/>
        </w:rPr>
        <w:t>, MSc)</w:t>
      </w:r>
    </w:p>
    <w:p w:rsidR="00165649" w:rsidRDefault="00165649" w:rsidP="00165649">
      <w:pPr>
        <w:spacing w:before="0" w:after="0" w:line="480" w:lineRule="auto"/>
        <w:jc w:val="center"/>
      </w:pPr>
      <w:r>
        <w:rPr>
          <w:vertAlign w:val="superscript"/>
        </w:rPr>
        <w:t>1</w:t>
      </w:r>
      <w:r>
        <w:t>Leoné Malan (RN, PhD)</w:t>
      </w:r>
      <w:proofErr w:type="gramStart"/>
      <w:r>
        <w:t>,</w:t>
      </w:r>
      <w:r>
        <w:rPr>
          <w:vertAlign w:val="superscript"/>
        </w:rPr>
        <w:t>1,2</w:t>
      </w:r>
      <w:r>
        <w:t>Roland</w:t>
      </w:r>
      <w:proofErr w:type="gramEnd"/>
      <w:r>
        <w:t xml:space="preserve"> von </w:t>
      </w:r>
      <w:proofErr w:type="spellStart"/>
      <w:r>
        <w:t>Känel</w:t>
      </w:r>
      <w:proofErr w:type="spellEnd"/>
      <w:r>
        <w:t xml:space="preserve"> (MD), </w:t>
      </w:r>
      <w:r>
        <w:rPr>
          <w:vertAlign w:val="superscript"/>
        </w:rPr>
        <w:t>1</w:t>
      </w:r>
      <w:r>
        <w:t xml:space="preserve">Leandi </w:t>
      </w:r>
      <w:proofErr w:type="spellStart"/>
      <w:r>
        <w:t>Lammertyn</w:t>
      </w:r>
      <w:proofErr w:type="spellEnd"/>
      <w:r>
        <w:t xml:space="preserve"> (PhD), </w:t>
      </w:r>
    </w:p>
    <w:p w:rsidR="00165649" w:rsidRDefault="00165649" w:rsidP="00165649">
      <w:pPr>
        <w:spacing w:before="0" w:after="0" w:line="480" w:lineRule="auto"/>
        <w:jc w:val="center"/>
      </w:pPr>
      <w:r w:rsidRPr="00EC1ABC">
        <w:rPr>
          <w:vertAlign w:val="superscript"/>
        </w:rPr>
        <w:t>3</w:t>
      </w:r>
      <w:r>
        <w:t xml:space="preserve">Cockeran M (MSc), </w:t>
      </w:r>
      <w:r>
        <w:rPr>
          <w:vertAlign w:val="superscript"/>
        </w:rPr>
        <w:t>1</w:t>
      </w:r>
      <w:r>
        <w:t>Nicolaas T Malan (</w:t>
      </w:r>
      <w:proofErr w:type="gramStart"/>
      <w:r>
        <w:t>DSc</w:t>
      </w:r>
      <w:proofErr w:type="gramEnd"/>
      <w:r>
        <w:t>)</w:t>
      </w:r>
    </w:p>
    <w:p w:rsidR="00165649" w:rsidRDefault="00165649" w:rsidP="00165649">
      <w:pPr>
        <w:spacing w:before="0" w:after="0" w:line="480" w:lineRule="auto"/>
        <w:jc w:val="both"/>
        <w:rPr>
          <w:rFonts w:eastAsia="Calibri"/>
          <w:bCs/>
          <w:iCs/>
          <w:color w:val="000000"/>
          <w:sz w:val="22"/>
          <w:szCs w:val="22"/>
          <w:vertAlign w:val="superscript"/>
        </w:rPr>
      </w:pPr>
    </w:p>
    <w:p w:rsidR="00165649" w:rsidRDefault="00165649" w:rsidP="00165649">
      <w:pPr>
        <w:spacing w:before="0" w:after="0" w:line="480" w:lineRule="auto"/>
        <w:jc w:val="both"/>
        <w:rPr>
          <w:rFonts w:eastAsia="Calibri"/>
          <w:bCs/>
          <w:iCs/>
          <w:color w:val="000000"/>
        </w:rPr>
      </w:pPr>
      <w:proofErr w:type="gramStart"/>
      <w:r>
        <w:rPr>
          <w:rFonts w:eastAsia="Calibri"/>
          <w:bCs/>
          <w:iCs/>
          <w:color w:val="000000"/>
          <w:vertAlign w:val="superscript"/>
        </w:rPr>
        <w:t>1</w:t>
      </w:r>
      <w:r>
        <w:rPr>
          <w:rFonts w:eastAsia="Calibri"/>
          <w:bCs/>
          <w:iCs/>
          <w:color w:val="000000"/>
        </w:rPr>
        <w:t>Hypertension in Africa Research Team (HART), School for Physiology, Nutrition, and Consumer Science, North-West University, Potchefstroom, South Africa.</w:t>
      </w:r>
      <w:proofErr w:type="gramEnd"/>
    </w:p>
    <w:p w:rsidR="00165649" w:rsidRDefault="00165649" w:rsidP="00165649">
      <w:pPr>
        <w:spacing w:before="0" w:after="0" w:line="480" w:lineRule="auto"/>
        <w:jc w:val="both"/>
        <w:rPr>
          <w:rFonts w:eastAsia="Calibri"/>
          <w:color w:val="000000" w:themeColor="text1"/>
        </w:rPr>
      </w:pPr>
      <w:r>
        <w:rPr>
          <w:rFonts w:eastAsia="Calibri"/>
          <w:vertAlign w:val="superscript"/>
        </w:rPr>
        <w:t>2</w:t>
      </w:r>
      <w:r>
        <w:rPr>
          <w:rFonts w:eastAsia="Calibri"/>
          <w:color w:val="000000" w:themeColor="text1"/>
        </w:rPr>
        <w:t xml:space="preserve">Department of Neurology, </w:t>
      </w:r>
      <w:proofErr w:type="spellStart"/>
      <w:r>
        <w:rPr>
          <w:rFonts w:eastAsia="Calibri"/>
          <w:color w:val="000000" w:themeColor="text1"/>
        </w:rPr>
        <w:t>Inselspital</w:t>
      </w:r>
      <w:proofErr w:type="spellEnd"/>
      <w:r>
        <w:rPr>
          <w:rFonts w:eastAsia="Calibri"/>
          <w:color w:val="000000" w:themeColor="text1"/>
        </w:rPr>
        <w:t>, Bern University Hospital, and University of Bern Switzerland</w:t>
      </w:r>
    </w:p>
    <w:p w:rsidR="00165649" w:rsidRPr="00F40519" w:rsidRDefault="00165649" w:rsidP="00165649">
      <w:pPr>
        <w:spacing w:before="0" w:after="0"/>
        <w:jc w:val="both"/>
        <w:rPr>
          <w:rFonts w:eastAsia="Calibri"/>
          <w:color w:val="000000" w:themeColor="text1"/>
          <w:lang w:val="en-US"/>
        </w:rPr>
      </w:pPr>
      <w:r w:rsidRPr="00F40519">
        <w:rPr>
          <w:rFonts w:eastAsia="Calibri"/>
          <w:color w:val="000000" w:themeColor="text1"/>
          <w:vertAlign w:val="superscript"/>
          <w:lang w:val="en-US"/>
        </w:rPr>
        <w:t>3</w:t>
      </w:r>
      <w:r w:rsidRPr="00F40519">
        <w:rPr>
          <w:rFonts w:eastAsia="Calibri"/>
          <w:color w:val="000000" w:themeColor="text1"/>
          <w:lang w:val="en-US"/>
        </w:rPr>
        <w:t>Medicine Usage in South Africa (MUSA), North-West University, Potchefstroom,</w:t>
      </w:r>
    </w:p>
    <w:p w:rsidR="00165649" w:rsidRPr="00165649" w:rsidRDefault="00165649" w:rsidP="00165649">
      <w:pPr>
        <w:spacing w:before="0" w:after="0"/>
        <w:jc w:val="both"/>
        <w:rPr>
          <w:rFonts w:eastAsia="Calibri"/>
          <w:color w:val="000000" w:themeColor="text1"/>
          <w:lang w:val="en-US"/>
        </w:rPr>
      </w:pPr>
      <w:r w:rsidRPr="00F40519">
        <w:rPr>
          <w:rFonts w:eastAsia="Calibri"/>
          <w:color w:val="000000" w:themeColor="text1"/>
          <w:lang w:val="en-US"/>
        </w:rPr>
        <w:t>South Africa</w:t>
      </w:r>
    </w:p>
    <w:p w:rsidR="00165649" w:rsidRDefault="00165649" w:rsidP="00165649">
      <w:pPr>
        <w:spacing w:before="0" w:after="0" w:line="480" w:lineRule="auto"/>
        <w:jc w:val="both"/>
        <w:rPr>
          <w:b/>
        </w:rPr>
      </w:pPr>
      <w:r>
        <w:rPr>
          <w:b/>
          <w:noProof/>
          <w:sz w:val="20"/>
          <w:szCs w:val="20"/>
          <w:lang w:val="en-ZA" w:eastAsia="en-ZA"/>
        </w:rPr>
        <mc:AlternateContent>
          <mc:Choice Requires="wps">
            <w:drawing>
              <wp:anchor distT="4294967294" distB="4294967294" distL="114300" distR="114300" simplePos="0" relativeHeight="251659264" behindDoc="0" locked="0" layoutInCell="1" allowOverlap="1" wp14:anchorId="060FAE73" wp14:editId="22A430A5">
                <wp:simplePos x="0" y="0"/>
                <wp:positionH relativeFrom="column">
                  <wp:posOffset>19050</wp:posOffset>
                </wp:positionH>
                <wp:positionV relativeFrom="paragraph">
                  <wp:posOffset>93345</wp:posOffset>
                </wp:positionV>
                <wp:extent cx="5675630" cy="0"/>
                <wp:effectExtent l="0" t="0" r="1270" b="19050"/>
                <wp:wrapNone/>
                <wp:docPr id="298" name="Straight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75630" cy="0"/>
                        </a:xfrm>
                        <a:prstGeom prst="line">
                          <a:avLst/>
                        </a:prstGeom>
                        <a:noFill/>
                        <a:ln w="9525" cap="flat" cmpd="sng" algn="ctr">
                          <a:solidFill>
                            <a:sysClr val="windowText" lastClr="000000">
                              <a:shade val="95000"/>
                              <a:satMod val="105000"/>
                            </a:sysClr>
                          </a:solidFill>
                          <a:prstDash val="sysDot"/>
                        </a:ln>
                        <a:effectLst/>
                      </wps:spPr>
                      <wps:bodyPr/>
                    </wps:wsp>
                  </a:graphicData>
                </a:graphic>
                <wp14:sizeRelH relativeFrom="margin">
                  <wp14:pctWidth>0</wp14:pctWidth>
                </wp14:sizeRelH>
                <wp14:sizeRelV relativeFrom="page">
                  <wp14:pctHeight>0</wp14:pctHeight>
                </wp14:sizeRelV>
              </wp:anchor>
            </w:drawing>
          </mc:Choice>
          <mc:Fallback>
            <w:pict>
              <v:line id="Straight Connector 298"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5pt,7.35pt" to="448.4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">
                <v:stroke dashstyle="1 1"/>
                <o:lock v:ext="edit" shapetype="f"/>
              </v:line>
            </w:pict>
          </mc:Fallback>
        </mc:AlternateContent>
      </w:r>
    </w:p>
    <w:p w:rsidR="00165649" w:rsidRDefault="00165649" w:rsidP="00165649">
      <w:pPr>
        <w:spacing w:before="0" w:after="0" w:line="480" w:lineRule="auto"/>
        <w:jc w:val="both"/>
        <w:rPr>
          <w:b/>
        </w:rPr>
      </w:pPr>
      <w:r>
        <w:rPr>
          <w:b/>
        </w:rPr>
        <w:t>Corresponding author: Prof L Malan, RN, PhD</w:t>
      </w:r>
    </w:p>
    <w:p w:rsidR="00165649" w:rsidRDefault="00165649" w:rsidP="00165649">
      <w:pPr>
        <w:spacing w:before="0" w:after="0" w:line="480" w:lineRule="auto"/>
        <w:jc w:val="both"/>
      </w:pPr>
      <w:r>
        <w:t>Hypertension in Africa Research Team (HART), Faculty of Health Sciences, North-West University, Potchefstroom Campus, Private Bag X6001, Potchefstroom, 2520, South Africa</w:t>
      </w:r>
    </w:p>
    <w:p w:rsidR="00165649" w:rsidRDefault="00165649" w:rsidP="00165649">
      <w:pPr>
        <w:spacing w:before="0" w:after="0" w:line="480" w:lineRule="auto"/>
        <w:jc w:val="both"/>
      </w:pPr>
      <w:r>
        <w:t xml:space="preserve">Tel +27 18 2992438; Fax +27 18 2991053; Email: </w:t>
      </w:r>
      <w:hyperlink r:id="rId7" w:history="1">
        <w:r>
          <w:t>Leone.Malan@nwu.ac.za</w:t>
        </w:r>
      </w:hyperlink>
      <w:r>
        <w:t>.</w:t>
      </w:r>
    </w:p>
    <w:p w:rsidR="000C1500" w:rsidRDefault="000C1500" w:rsidP="00165649">
      <w:pPr>
        <w:spacing w:before="0" w:after="0" w:line="480" w:lineRule="auto"/>
        <w:jc w:val="both"/>
      </w:pPr>
    </w:p>
    <w:p w:rsidR="002218F5" w:rsidRDefault="002218F5" w:rsidP="002218F5">
      <w:pPr>
        <w:spacing w:before="0" w:after="0" w:line="480" w:lineRule="auto"/>
        <w:jc w:val="both"/>
        <w:rPr>
          <w:b/>
          <w:sz w:val="28"/>
          <w:szCs w:val="28"/>
        </w:rPr>
      </w:pPr>
      <w:r>
        <w:rPr>
          <w:b/>
          <w:sz w:val="28"/>
          <w:szCs w:val="28"/>
        </w:rPr>
        <w:lastRenderedPageBreak/>
        <w:t>ABSTRACT</w:t>
      </w:r>
    </w:p>
    <w:p w:rsidR="002218F5" w:rsidRPr="00E84D41" w:rsidRDefault="002218F5" w:rsidP="002218F5">
      <w:pPr>
        <w:spacing w:before="0" w:after="0" w:line="480" w:lineRule="auto"/>
        <w:jc w:val="both"/>
      </w:pPr>
      <w:r>
        <w:t>A pro-inflammatory profile has been related to the development of cardiac remodelling. The aim of this study was to determine whether inflammation may lead to increased myocardial stress and predict the development of cardiac remodelling in Africans over a three year period. This prospective study was conducted in 298 Black and White teachers (aged 20-65 years) from South Africa. Fasting blood samples were obtained to measure Troponin T (</w:t>
      </w:r>
      <w:proofErr w:type="spellStart"/>
      <w:r>
        <w:t>cTnT</w:t>
      </w:r>
      <w:proofErr w:type="spellEnd"/>
      <w:r>
        <w:t>), NT-</w:t>
      </w:r>
      <w:proofErr w:type="spellStart"/>
      <w:r>
        <w:t>proBNP</w:t>
      </w:r>
      <w:proofErr w:type="spellEnd"/>
      <w:r>
        <w:t xml:space="preserve">, C-reactive protein (CRP), Interleukin (IL)-6 and </w:t>
      </w:r>
      <w:proofErr w:type="spellStart"/>
      <w:r>
        <w:t>tumor</w:t>
      </w:r>
      <w:proofErr w:type="spellEnd"/>
      <w:r>
        <w:t>-necrosis factor (TNF)-α. 24-hour ambulatory blood pressure and 2-lead ECG were also determined. A resting 12-lead ECG determined left ventricular hypertrophy (LVH). Over the three-year period, Blacks showed greater increases in IL-6 (p</w:t>
      </w:r>
      <w:r w:rsidRPr="00C9641F">
        <w:t>&lt;0.001</w:t>
      </w:r>
      <w:r>
        <w:t>) and BP (p</w:t>
      </w:r>
      <w:r w:rsidRPr="00C9641F">
        <w:t>&lt;0.001</w:t>
      </w:r>
      <w:r>
        <w:t>) values than Whites, whereas Whites had a greater increase in NT-</w:t>
      </w:r>
      <w:proofErr w:type="spellStart"/>
      <w:r>
        <w:t>proBNP</w:t>
      </w:r>
      <w:proofErr w:type="spellEnd"/>
      <w:r>
        <w:t xml:space="preserve"> (p=0.01) levels than Blacks. </w:t>
      </w:r>
      <w:r w:rsidRPr="00954607">
        <w:t>CRP (OR=0.83, 95%</w:t>
      </w:r>
      <w:r>
        <w:t xml:space="preserve"> </w:t>
      </w:r>
      <w:r w:rsidRPr="00954607">
        <w:t>CI 0.72 to</w:t>
      </w:r>
      <w:r>
        <w:t xml:space="preserve"> </w:t>
      </w:r>
      <w:r w:rsidRPr="00954607">
        <w:t>0.97, p=0.02)</w:t>
      </w:r>
      <w:r>
        <w:t xml:space="preserve"> predicted </w:t>
      </w:r>
      <w:proofErr w:type="spellStart"/>
      <w:r>
        <w:t>myocyte</w:t>
      </w:r>
      <w:proofErr w:type="spellEnd"/>
      <w:r>
        <w:t xml:space="preserve"> injury in Black men. Also in Black men, NT-</w:t>
      </w:r>
      <w:proofErr w:type="spellStart"/>
      <w:r>
        <w:t>proBNP</w:t>
      </w:r>
      <w:proofErr w:type="spellEnd"/>
      <w:r>
        <w:t xml:space="preserve"> was associated </w:t>
      </w:r>
      <w:r w:rsidRPr="00EB04BB">
        <w:t>with CRP (β=0.36; 95% CI 0.14 to 0.58; p≤0.01) and MAP (β=0.33; 95% CI 0.11 to 0.55; p≤0.01). In</w:t>
      </w:r>
      <w:r>
        <w:t xml:space="preserve"> White men, TNF-α (OR=1.75, 95% CI 1</w:t>
      </w:r>
      <w:r w:rsidRPr="00C9641F">
        <w:t>.</w:t>
      </w:r>
      <w:r>
        <w:t>05</w:t>
      </w:r>
      <w:r w:rsidRPr="00C9641F">
        <w:t xml:space="preserve"> to </w:t>
      </w:r>
      <w:r>
        <w:t>2.91, p=0.03</w:t>
      </w:r>
      <w:r w:rsidRPr="00C9641F">
        <w:t>)</w:t>
      </w:r>
      <w:r>
        <w:t xml:space="preserve"> and NT-</w:t>
      </w:r>
      <w:proofErr w:type="spellStart"/>
      <w:r>
        <w:t>proBNP</w:t>
      </w:r>
      <w:proofErr w:type="spellEnd"/>
      <w:r>
        <w:t xml:space="preserve"> </w:t>
      </w:r>
      <w:r w:rsidRPr="006515DF">
        <w:t>(OR=1.06, 95% CI 1.01 to 1.10, p=0.01)</w:t>
      </w:r>
      <w:r>
        <w:t xml:space="preserve"> predicted </w:t>
      </w:r>
      <w:proofErr w:type="spellStart"/>
      <w:r>
        <w:t>myocyte</w:t>
      </w:r>
      <w:proofErr w:type="spellEnd"/>
      <w:r>
        <w:t xml:space="preserve"> injury. The findings suggest that inflammation facilitates </w:t>
      </w:r>
      <w:proofErr w:type="spellStart"/>
      <w:r>
        <w:t>myocyte</w:t>
      </w:r>
      <w:proofErr w:type="spellEnd"/>
      <w:r>
        <w:t xml:space="preserve"> injury and may increase myocardial stress further exacerbating cardiac injury. Ultimately the risk for subclinical cardiac remodelling and end organ damage increases in Africans.</w:t>
      </w:r>
    </w:p>
    <w:p w:rsidR="002218F5" w:rsidRDefault="002218F5" w:rsidP="002218F5">
      <w:pPr>
        <w:spacing w:before="0" w:after="0" w:line="480" w:lineRule="auto"/>
        <w:jc w:val="both"/>
        <w:rPr>
          <w:b/>
        </w:rPr>
      </w:pPr>
    </w:p>
    <w:p w:rsidR="002218F5" w:rsidRDefault="002218F5" w:rsidP="002218F5">
      <w:pPr>
        <w:spacing w:before="0" w:after="0" w:line="480" w:lineRule="auto"/>
        <w:jc w:val="both"/>
      </w:pPr>
      <w:r>
        <w:rPr>
          <w:b/>
        </w:rPr>
        <w:t xml:space="preserve">Keywords: </w:t>
      </w:r>
      <w:r>
        <w:t>inflammation</w:t>
      </w:r>
      <w:r>
        <w:t xml:space="preserve">, </w:t>
      </w:r>
      <w:proofErr w:type="spellStart"/>
      <w:r>
        <w:t>myocyte</w:t>
      </w:r>
      <w:proofErr w:type="spellEnd"/>
      <w:r>
        <w:t xml:space="preserve"> injury,</w:t>
      </w:r>
      <w:r>
        <w:t xml:space="preserve"> </w:t>
      </w:r>
      <w:r>
        <w:t>myocardial stress</w:t>
      </w:r>
      <w:r>
        <w:t>, Africans</w:t>
      </w:r>
      <w:bookmarkStart w:id="0" w:name="_GoBack"/>
      <w:bookmarkEnd w:id="0"/>
    </w:p>
    <w:p w:rsidR="00031899" w:rsidRDefault="00031899"/>
    <w:sectPr w:rsidR="000318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649"/>
    <w:rsid w:val="00031899"/>
    <w:rsid w:val="000C1500"/>
    <w:rsid w:val="00165649"/>
    <w:rsid w:val="002218F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649"/>
    <w:pPr>
      <w:spacing w:before="240" w:line="360" w:lineRule="auto"/>
    </w:pPr>
    <w:rPr>
      <w:rFonts w:ascii="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649"/>
    <w:pPr>
      <w:spacing w:before="240" w:line="360" w:lineRule="auto"/>
    </w:pPr>
    <w:rPr>
      <w:rFonts w:ascii="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one.Malan@nwu.ac.z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SAPS</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2017-08-04T10:00:00Z</dcterms:created>
  <dcterms:modified xsi:type="dcterms:W3CDTF">2017-08-04T10:05:00Z</dcterms:modified>
</cp:coreProperties>
</file>