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0B8EA" w14:textId="2743D7A0" w:rsidR="00A273CA" w:rsidRDefault="00A273CA" w:rsidP="00A273CA">
      <w:pPr>
        <w:pStyle w:val="BodyText"/>
        <w:spacing w:before="73"/>
        <w:ind w:left="101" w:right="1008"/>
        <w:rPr>
          <w:rFonts w:ascii="Minion Pro" w:eastAsia="Minion Pro" w:hAnsi="Minion Pro" w:cs="Minion Pro"/>
          <w:b/>
          <w:bCs/>
          <w:color w:val="337AB7"/>
          <w:sz w:val="36"/>
          <w:szCs w:val="36"/>
        </w:rPr>
      </w:pPr>
      <w:proofErr w:type="spellStart"/>
      <w:r w:rsidRPr="00A273CA">
        <w:rPr>
          <w:rFonts w:ascii="Minion Pro" w:eastAsia="Minion Pro" w:hAnsi="Minion Pro" w:cs="Minion Pro"/>
          <w:b/>
          <w:bCs/>
          <w:color w:val="337AB7"/>
          <w:sz w:val="36"/>
          <w:szCs w:val="36"/>
          <w:lang w:val="it-IT"/>
        </w:rPr>
        <w:t>Not</w:t>
      </w:r>
      <w:proofErr w:type="spellEnd"/>
      <w:r w:rsidRPr="00A273CA">
        <w:rPr>
          <w:rFonts w:ascii="Minion Pro" w:eastAsia="Minion Pro" w:hAnsi="Minion Pro" w:cs="Minion Pro"/>
          <w:b/>
          <w:bCs/>
          <w:color w:val="337AB7"/>
          <w:sz w:val="36"/>
          <w:szCs w:val="36"/>
          <w:lang w:val="it-IT"/>
        </w:rPr>
        <w:t xml:space="preserve"> </w:t>
      </w:r>
      <w:proofErr w:type="spellStart"/>
      <w:r w:rsidRPr="00A273CA">
        <w:rPr>
          <w:rFonts w:ascii="Minion Pro" w:eastAsia="Minion Pro" w:hAnsi="Minion Pro" w:cs="Minion Pro"/>
          <w:b/>
          <w:bCs/>
          <w:color w:val="337AB7"/>
          <w:sz w:val="36"/>
          <w:szCs w:val="36"/>
          <w:lang w:val="it-IT"/>
        </w:rPr>
        <w:t>All</w:t>
      </w:r>
      <w:proofErr w:type="spellEnd"/>
      <w:r w:rsidRPr="00A273CA">
        <w:rPr>
          <w:rFonts w:ascii="Minion Pro" w:eastAsia="Minion Pro" w:hAnsi="Minion Pro" w:cs="Minion Pro"/>
          <w:b/>
          <w:bCs/>
          <w:color w:val="337AB7"/>
          <w:sz w:val="36"/>
          <w:szCs w:val="36"/>
          <w:lang w:val="it-IT"/>
        </w:rPr>
        <w:t xml:space="preserve"> </w:t>
      </w:r>
      <w:proofErr w:type="spellStart"/>
      <w:r w:rsidRPr="00A273CA">
        <w:rPr>
          <w:rFonts w:ascii="Minion Pro" w:eastAsia="Minion Pro" w:hAnsi="Minion Pro" w:cs="Minion Pro"/>
          <w:b/>
          <w:bCs/>
          <w:color w:val="337AB7"/>
          <w:sz w:val="36"/>
          <w:szCs w:val="36"/>
          <w:lang w:val="it-IT"/>
        </w:rPr>
        <w:t>Thiazides</w:t>
      </w:r>
      <w:proofErr w:type="spellEnd"/>
      <w:r w:rsidRPr="00A273CA">
        <w:rPr>
          <w:rFonts w:ascii="Minion Pro" w:eastAsia="Minion Pro" w:hAnsi="Minion Pro" w:cs="Minion Pro"/>
          <w:b/>
          <w:bCs/>
          <w:color w:val="337AB7"/>
          <w:sz w:val="36"/>
          <w:szCs w:val="36"/>
          <w:lang w:val="it-IT"/>
        </w:rPr>
        <w:t xml:space="preserve"> </w:t>
      </w:r>
      <w:r>
        <w:rPr>
          <w:rFonts w:ascii="Minion Pro" w:eastAsia="Minion Pro" w:hAnsi="Minion Pro" w:cs="Minion Pro"/>
          <w:b/>
          <w:bCs/>
          <w:color w:val="337AB7"/>
          <w:sz w:val="36"/>
          <w:szCs w:val="36"/>
          <w:lang w:val="it-IT"/>
        </w:rPr>
        <w:t xml:space="preserve">Are </w:t>
      </w:r>
      <w:proofErr w:type="spellStart"/>
      <w:r>
        <w:rPr>
          <w:rFonts w:ascii="Minion Pro" w:eastAsia="Minion Pro" w:hAnsi="Minion Pro" w:cs="Minion Pro"/>
          <w:b/>
          <w:bCs/>
          <w:color w:val="337AB7"/>
          <w:sz w:val="36"/>
          <w:szCs w:val="36"/>
          <w:lang w:val="it-IT"/>
        </w:rPr>
        <w:t>Created</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Equal</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Comparing</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Cardiovascular</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Outcomes</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Among</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Commonly</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Prescribed</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Antihypertensives</w:t>
      </w:r>
      <w:proofErr w:type="spellEnd"/>
    </w:p>
    <w:p w14:paraId="51696117" w14:textId="77777777" w:rsidR="00A273CA" w:rsidRDefault="00A273CA" w:rsidP="00A273CA">
      <w:pPr>
        <w:rPr>
          <w:rFonts w:eastAsia="MS PGothic" w:hAnsi="Arial"/>
          <w:color w:val="000000"/>
        </w:rPr>
      </w:pPr>
      <w:r>
        <w:rPr>
          <w:rFonts w:eastAsia="MS PGothic" w:hAnsi="Arial"/>
          <w:color w:val="000000"/>
        </w:rPr>
        <w:t xml:space="preserve">Rachel Boysen, PA-S3, Lance Hansen, PA-S3, Meredith </w:t>
      </w:r>
      <w:proofErr w:type="spellStart"/>
      <w:r>
        <w:rPr>
          <w:rFonts w:eastAsia="MS PGothic" w:hAnsi="Arial"/>
          <w:color w:val="000000"/>
        </w:rPr>
        <w:t>Mihalick</w:t>
      </w:r>
      <w:proofErr w:type="spellEnd"/>
      <w:r>
        <w:rPr>
          <w:rFonts w:eastAsia="MS PGothic" w:hAnsi="Arial"/>
          <w:color w:val="000000"/>
        </w:rPr>
        <w:t xml:space="preserve">, PA-S3, Julie </w:t>
      </w:r>
      <w:proofErr w:type="spellStart"/>
      <w:r>
        <w:rPr>
          <w:rFonts w:eastAsia="MS PGothic" w:hAnsi="Arial"/>
          <w:color w:val="000000"/>
        </w:rPr>
        <w:t>Kutac</w:t>
      </w:r>
      <w:proofErr w:type="spellEnd"/>
      <w:r>
        <w:rPr>
          <w:rFonts w:eastAsia="MS PGothic" w:hAnsi="Arial"/>
          <w:color w:val="000000"/>
        </w:rPr>
        <w:t>, PhD</w:t>
      </w:r>
    </w:p>
    <w:p w14:paraId="52BE9123" w14:textId="0677DF0C" w:rsidR="00A273CA" w:rsidRDefault="00A273CA" w:rsidP="00A273CA">
      <w:pPr>
        <w:rPr>
          <w:rFonts w:eastAsia="MS PGothic" w:hAnsi="Arial"/>
          <w:color w:val="000000"/>
        </w:rPr>
      </w:pPr>
      <w:r>
        <w:rPr>
          <w:rFonts w:eastAsia="MS PGothic" w:hAnsi="Arial"/>
          <w:color w:val="000000"/>
        </w:rPr>
        <w:t>University of Texas Medical Branch Galveston, TX 77555, USA</w:t>
      </w:r>
    </w:p>
    <w:p w14:paraId="16676CD2" w14:textId="77777777" w:rsidR="00AE3E37" w:rsidRPr="00A273CA" w:rsidRDefault="00AE3E37">
      <w:pPr>
        <w:pStyle w:val="BodyText"/>
        <w:rPr>
          <w:rFonts w:ascii="Arial"/>
          <w:sz w:val="20"/>
        </w:rPr>
      </w:pPr>
    </w:p>
    <w:p w14:paraId="0FC3CDA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5B539BC"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474D8BB" w14:textId="2CA6DF67" w:rsidR="00AE3E37" w:rsidRPr="00E356F4" w:rsidRDefault="00A273CA" w:rsidP="00E356F4">
      <w:pPr>
        <w:jc w:val="both"/>
        <w:rPr>
          <w:rFonts w:eastAsia="MS PGothic"/>
          <w:color w:val="000000"/>
          <w:szCs w:val="32"/>
        </w:rPr>
      </w:pPr>
      <w:r w:rsidRPr="00354933">
        <w:rPr>
          <w:rFonts w:eastAsia="MS PGothic"/>
          <w:color w:val="000000"/>
          <w:szCs w:val="32"/>
        </w:rPr>
        <w:t>Thiazide-like and thiazide-type diuretics are both recommended, without discrimination, by the Joint National Committee as first line treatments for hypertension.</w:t>
      </w:r>
      <w:proofErr w:type="gramStart"/>
      <w:r w:rsidRPr="00354933">
        <w:rPr>
          <w:rFonts w:eastAsia="MS PGothic"/>
          <w:color w:val="000000"/>
          <w:szCs w:val="32"/>
        </w:rPr>
        <w:t>1  However</w:t>
      </w:r>
      <w:proofErr w:type="gramEnd"/>
      <w:r w:rsidRPr="00354933">
        <w:rPr>
          <w:rFonts w:eastAsia="MS PGothic"/>
          <w:color w:val="000000"/>
          <w:szCs w:val="32"/>
        </w:rPr>
        <w:t>, despite similar mechanisms for blood pressure reduction, there is mounting evidence that these two distinct classes of medication confer variable protection against adverse cardiovascular events.</w:t>
      </w:r>
      <w:r>
        <w:rPr>
          <w:rFonts w:eastAsia="MS PGothic"/>
          <w:color w:val="000000"/>
          <w:szCs w:val="32"/>
        </w:rPr>
        <w:t xml:space="preserve"> </w:t>
      </w:r>
      <w:r w:rsidRPr="00354933">
        <w:rPr>
          <w:rFonts w:eastAsia="MS PGothic"/>
          <w:color w:val="000000"/>
          <w:szCs w:val="32"/>
        </w:rPr>
        <w:t>The purpose of this analysis is to determine whether thiazide-like diuretics are associated with fewer cardiovascular events than thiazide-type diuretics, in the absence of head-to-head trials in the literature.</w:t>
      </w:r>
      <w:r>
        <w:rPr>
          <w:rFonts w:eastAsia="MS PGothic"/>
          <w:color w:val="000000"/>
          <w:szCs w:val="32"/>
        </w:rPr>
        <w:t xml:space="preserve"> </w:t>
      </w:r>
      <w:r w:rsidRPr="00354933">
        <w:rPr>
          <w:rFonts w:eastAsia="MS PGothic"/>
          <w:color w:val="000000"/>
          <w:szCs w:val="32"/>
        </w:rPr>
        <w:t>A systematic review using PubMed with the inclusion criteria of subjects taking either thiazide-type diuretics or thiazide-like diuretics, excluding meta-analyses and systematic reviews.</w:t>
      </w:r>
      <w:r>
        <w:rPr>
          <w:rFonts w:eastAsia="MS PGothic"/>
          <w:color w:val="000000"/>
          <w:szCs w:val="32"/>
        </w:rPr>
        <w:t xml:space="preserve"> </w:t>
      </w:r>
      <w:r w:rsidRPr="00354933">
        <w:rPr>
          <w:rFonts w:eastAsia="MS PGothic"/>
          <w:color w:val="000000"/>
          <w:szCs w:val="32"/>
        </w:rPr>
        <w:t xml:space="preserve">Most studies reviewed concluded thiazide-like diuretics showed a higher reduction in mortality rates secondary to cardiovascular events such as myocardial infarction, stroke, heart failure, and left ventricular hypertrophy than thiazide-type diuretics such as HCTZ or </w:t>
      </w:r>
      <w:proofErr w:type="spellStart"/>
      <w:r w:rsidRPr="00354933">
        <w:rPr>
          <w:rFonts w:eastAsia="MS PGothic"/>
          <w:color w:val="000000"/>
          <w:szCs w:val="32"/>
        </w:rPr>
        <w:t>bendroflumethiazide</w:t>
      </w:r>
      <w:proofErr w:type="spellEnd"/>
      <w:r w:rsidRPr="00354933">
        <w:rPr>
          <w:rFonts w:eastAsia="MS PGothic"/>
          <w:color w:val="000000"/>
          <w:szCs w:val="32"/>
        </w:rPr>
        <w:t>. Many studies reviewed also showed that thiazide-like diuretics showed greater decrease in systolic and diastolic ambulatory blood pressures than thiazide-type diuretics. Additionally, most studies revealed higher risk of electrolyte imbalance due to therapy with thiazide-like diuretics in comparison with thiazide-type diuretics at similar doses.</w:t>
      </w:r>
      <w:r>
        <w:rPr>
          <w:rFonts w:eastAsia="MS PGothic"/>
          <w:color w:val="000000"/>
          <w:szCs w:val="32"/>
        </w:rPr>
        <w:t xml:space="preserve"> </w:t>
      </w:r>
      <w:r w:rsidRPr="00354933">
        <w:rPr>
          <w:rFonts w:eastAsia="MS PGothic"/>
          <w:color w:val="000000"/>
          <w:szCs w:val="32"/>
        </w:rPr>
        <w:t>The majority of studies conclude thiazide-like diuretics are superior to thiazide-type diuretics on the contingency that the patient’s bloodwork reflects stable electrolyte counts and the patients are able to be monitored throughout the course of their treatment. Chlorthalidone or indapamide should be considered the standard of care if prescribing a thiazide diuretic for HTN due to their overall improvement of cardiovascular outcomes.</w:t>
      </w:r>
    </w:p>
    <w:p w14:paraId="41AB6C4E" w14:textId="77777777" w:rsidR="00AE3E37" w:rsidRDefault="00A9710C">
      <w:pPr>
        <w:pStyle w:val="Heading3"/>
        <w:spacing w:before="74"/>
      </w:pPr>
      <w:r>
        <w:rPr>
          <w:b w:val="0"/>
        </w:rPr>
        <w:br w:type="column"/>
      </w:r>
      <w:r>
        <w:rPr>
          <w:color w:val="BF5A14"/>
        </w:rPr>
        <w:t>Image</w:t>
      </w:r>
    </w:p>
    <w:p w14:paraId="6866B53D" w14:textId="459BB49E" w:rsidR="00AE3E37" w:rsidRDefault="00A273CA">
      <w:pPr>
        <w:pStyle w:val="BodyText"/>
        <w:spacing w:before="2"/>
        <w:rPr>
          <w:rFonts w:ascii="Arial"/>
          <w:b/>
          <w:sz w:val="16"/>
        </w:rPr>
      </w:pPr>
      <w:r>
        <w:rPr>
          <w:rFonts w:ascii="Arial"/>
          <w:b/>
          <w:noProof/>
          <w:sz w:val="16"/>
        </w:rPr>
        <w:drawing>
          <wp:inline distT="0" distB="0" distL="0" distR="0" wp14:anchorId="016CDA3C" wp14:editId="5F31AE52">
            <wp:extent cx="2882096" cy="2689956"/>
            <wp:effectExtent l="0" t="0" r="1270" b="2540"/>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al Poster - Google Slides 2020-07-22 12-48-56.jpg"/>
                    <pic:cNvPicPr/>
                  </pic:nvPicPr>
                  <pic:blipFill>
                    <a:blip r:embed="rId10">
                      <a:extLst>
                        <a:ext uri="{28A0092B-C50C-407E-A947-70E740481C1C}">
                          <a14:useLocalDpi xmlns:a14="http://schemas.microsoft.com/office/drawing/2010/main" val="0"/>
                        </a:ext>
                      </a:extLst>
                    </a:blip>
                    <a:stretch>
                      <a:fillRect/>
                    </a:stretch>
                  </pic:blipFill>
                  <pic:spPr>
                    <a:xfrm>
                      <a:off x="0" y="0"/>
                      <a:ext cx="2882096" cy="2689956"/>
                    </a:xfrm>
                    <a:prstGeom prst="rect">
                      <a:avLst/>
                    </a:prstGeom>
                  </pic:spPr>
                </pic:pic>
              </a:graphicData>
            </a:graphic>
          </wp:inline>
        </w:drawing>
      </w:r>
    </w:p>
    <w:p w14:paraId="4743DB3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485806B" w14:textId="77777777" w:rsidR="00AE3E37" w:rsidRPr="008756E6" w:rsidRDefault="00AE3E37" w:rsidP="008756E6">
      <w:pPr>
        <w:tabs>
          <w:tab w:val="left" w:pos="384"/>
        </w:tabs>
        <w:ind w:right="117"/>
      </w:pPr>
    </w:p>
    <w:p w14:paraId="309C4D3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74AB6E7"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857B528" w14:textId="00AD0A2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98EA0D6" wp14:editId="4FBD058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F8B11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D5443B1" w14:textId="5CE4D4EE" w:rsidR="00A273CA" w:rsidRDefault="00A273CA" w:rsidP="00A273CA">
      <w:pPr>
        <w:spacing w:before="92"/>
        <w:jc w:val="center"/>
        <w:rPr>
          <w:noProof/>
        </w:rPr>
      </w:pPr>
      <w:r>
        <w:rPr>
          <w:noProof/>
          <w:lang w:val="en-GB"/>
        </w:rPr>
        <w:drawing>
          <wp:inline distT="0" distB="0" distL="0" distR="0" wp14:anchorId="46A5D9BB" wp14:editId="639EA530">
            <wp:extent cx="1297940" cy="1296364"/>
            <wp:effectExtent l="0" t="0" r="0" b="0"/>
            <wp:docPr id="3" name="Picture 3" descr="A person smiling for the camera&#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G_3012.JPG"/>
                    <pic:cNvPicPr/>
                  </pic:nvPicPr>
                  <pic:blipFill rotWithShape="1">
                    <a:blip r:embed="rId11" cstate="print">
                      <a:extLst>
                        <a:ext uri="{28A0092B-C50C-407E-A947-70E740481C1C}">
                          <a14:useLocalDpi xmlns:a14="http://schemas.microsoft.com/office/drawing/2010/main" val="0"/>
                        </a:ext>
                      </a:extLst>
                    </a:blip>
                    <a:srcRect t="10129" b="23161"/>
                    <a:stretch/>
                  </pic:blipFill>
                  <pic:spPr bwMode="auto">
                    <a:xfrm>
                      <a:off x="0" y="0"/>
                      <a:ext cx="1298448" cy="1296871"/>
                    </a:xfrm>
                    <a:prstGeom prst="rect">
                      <a:avLst/>
                    </a:prstGeom>
                    <a:ln>
                      <a:noFill/>
                    </a:ln>
                    <a:extLst>
                      <a:ext uri="{53640926-AAD7-44D8-BBD7-CCE9431645EC}">
                        <a14:shadowObscured xmlns:a14="http://schemas.microsoft.com/office/drawing/2010/main"/>
                      </a:ext>
                    </a:extLst>
                  </pic:spPr>
                </pic:pic>
              </a:graphicData>
            </a:graphic>
          </wp:inline>
        </w:drawing>
      </w:r>
      <w:r>
        <w:fldChar w:fldCharType="begin"/>
      </w:r>
      <w:r>
        <w:instrText xml:space="preserve"> INCLUDEPICTURE "https://media-exp1.licdn.com/dms/image/C4E03AQF05jGsW9gA9g/profile-displayphoto-shrink_800_800/0?e=1600905600&amp;v=beta&amp;t=AAjEgdmjZbjrMt40DadmmCFVulaRcZjQ-tj5w3tQLyg" \* MERGEFORMATINET </w:instrText>
      </w:r>
      <w:r>
        <w:fldChar w:fldCharType="separate"/>
      </w:r>
      <w:r>
        <w:rPr>
          <w:noProof/>
        </w:rPr>
        <w:drawing>
          <wp:inline distT="0" distB="0" distL="0" distR="0" wp14:anchorId="614C82A6" wp14:editId="4F3D10C4">
            <wp:extent cx="1296324" cy="1296324"/>
            <wp:effectExtent l="0" t="0" r="0" b="0"/>
            <wp:docPr id="4" name="Picture 4" descr="Profile photo of Lance Hans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rofile photo of Lance Hansen"/>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6324" cy="1296324"/>
                    </a:xfrm>
                    <a:prstGeom prst="rect">
                      <a:avLst/>
                    </a:prstGeom>
                    <a:noFill/>
                    <a:ln>
                      <a:noFill/>
                    </a:ln>
                  </pic:spPr>
                </pic:pic>
              </a:graphicData>
            </a:graphic>
          </wp:inline>
        </w:drawing>
      </w:r>
      <w:r>
        <w:fldChar w:fldCharType="end"/>
      </w:r>
      <w:r>
        <w:rPr>
          <w:rFonts w:ascii="Segoe UI" w:hAnsi="Segoe UI" w:cs="Segoe UI"/>
        </w:rPr>
        <w:fldChar w:fldCharType="begin"/>
      </w:r>
      <w:r>
        <w:rPr>
          <w:rFonts w:ascii="Segoe UI" w:hAnsi="Segoe UI" w:cs="Segoe UI"/>
        </w:rPr>
        <w:instrText xml:space="preserve"> INCLUDEPICTURE "https://media-exp1.licdn.com/dms/image/C4D03AQGh1Q7J00_V0w/profile-displayphoto-shrink_800_800/0?e=1600905600&amp;v=beta&amp;t=lLmPaJ6i_CEEW8jaskN7XGFgggEB8zZIipfFr8tofwk" \* MERGEFORMATINET </w:instrText>
      </w:r>
      <w:r>
        <w:rPr>
          <w:rFonts w:ascii="Segoe UI" w:hAnsi="Segoe UI" w:cs="Segoe UI"/>
        </w:rPr>
        <w:fldChar w:fldCharType="separate"/>
      </w:r>
      <w:r>
        <w:rPr>
          <w:rFonts w:ascii="Segoe UI" w:hAnsi="Segoe UI" w:cs="Segoe UI"/>
          <w:noProof/>
        </w:rPr>
        <w:drawing>
          <wp:inline distT="0" distB="0" distL="0" distR="0" wp14:anchorId="36E288BE" wp14:editId="2BA4A369">
            <wp:extent cx="1296365" cy="1296365"/>
            <wp:effectExtent l="0" t="0" r="0" b="0"/>
            <wp:docPr id="6" name="ember3568" descr="Profile photo of Meredith Mihali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mber3568" descr="Profile photo of Meredith Mihalick"/>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365" cy="1296365"/>
                    </a:xfrm>
                    <a:prstGeom prst="rect">
                      <a:avLst/>
                    </a:prstGeom>
                    <a:noFill/>
                    <a:ln>
                      <a:noFill/>
                    </a:ln>
                  </pic:spPr>
                </pic:pic>
              </a:graphicData>
            </a:graphic>
          </wp:inline>
        </w:drawing>
      </w:r>
      <w:r>
        <w:rPr>
          <w:rFonts w:ascii="Segoe UI" w:hAnsi="Segoe UI" w:cs="Segoe UI"/>
        </w:rPr>
        <w:fldChar w:fldCharType="end"/>
      </w:r>
    </w:p>
    <w:p w14:paraId="27CD6F1D" w14:textId="16595D12" w:rsidR="00AE3E37" w:rsidRDefault="00A9710C" w:rsidP="00A273CA">
      <w:pPr>
        <w:spacing w:before="92"/>
        <w:jc w:val="center"/>
        <w:rPr>
          <w:rFonts w:ascii="Arial"/>
        </w:rPr>
      </w:pPr>
      <w:r>
        <w:rPr>
          <w:rFonts w:ascii="Arial"/>
          <w:color w:val="BF5A14"/>
        </w:rPr>
        <w:t>Biography</w:t>
      </w:r>
    </w:p>
    <w:p w14:paraId="2E402C7E" w14:textId="77777777" w:rsidR="00A273CA" w:rsidRDefault="00A273CA" w:rsidP="00A273CA">
      <w:pPr>
        <w:spacing w:before="62"/>
        <w:jc w:val="center"/>
        <w:rPr>
          <w:rFonts w:ascii="Arial"/>
          <w:sz w:val="14"/>
          <w:lang w:val="it-IT"/>
        </w:rPr>
      </w:pPr>
      <w:r w:rsidRPr="00A273CA">
        <w:rPr>
          <w:rFonts w:ascii="Arial"/>
          <w:sz w:val="14"/>
          <w:lang w:val="it-IT"/>
        </w:rPr>
        <w:t xml:space="preserve">Rachel, Lance, and Meredith are 3rd </w:t>
      </w:r>
      <w:proofErr w:type="spellStart"/>
      <w:r w:rsidRPr="00A273CA">
        <w:rPr>
          <w:rFonts w:ascii="Arial"/>
          <w:sz w:val="14"/>
          <w:lang w:val="it-IT"/>
        </w:rPr>
        <w:t>year</w:t>
      </w:r>
      <w:proofErr w:type="spellEnd"/>
      <w:r w:rsidRPr="00A273CA">
        <w:rPr>
          <w:rFonts w:ascii="Arial"/>
          <w:sz w:val="14"/>
          <w:lang w:val="it-IT"/>
        </w:rPr>
        <w:t xml:space="preserve"> </w:t>
      </w:r>
      <w:proofErr w:type="spellStart"/>
      <w:r w:rsidRPr="00A273CA">
        <w:rPr>
          <w:rFonts w:ascii="Arial"/>
          <w:sz w:val="14"/>
          <w:lang w:val="it-IT"/>
        </w:rPr>
        <w:t>Physician</w:t>
      </w:r>
      <w:proofErr w:type="spellEnd"/>
      <w:r w:rsidRPr="00A273CA">
        <w:rPr>
          <w:rFonts w:ascii="Arial"/>
          <w:sz w:val="14"/>
          <w:lang w:val="it-IT"/>
        </w:rPr>
        <w:t xml:space="preserve"> Assistant </w:t>
      </w:r>
      <w:proofErr w:type="spellStart"/>
      <w:r w:rsidRPr="00A273CA">
        <w:rPr>
          <w:rFonts w:ascii="Arial"/>
          <w:sz w:val="14"/>
          <w:lang w:val="it-IT"/>
        </w:rPr>
        <w:t>students</w:t>
      </w:r>
      <w:proofErr w:type="spellEnd"/>
      <w:r w:rsidRPr="00A273CA">
        <w:rPr>
          <w:rFonts w:ascii="Arial"/>
          <w:sz w:val="14"/>
          <w:lang w:val="it-IT"/>
        </w:rPr>
        <w:t xml:space="preserve"> </w:t>
      </w:r>
      <w:proofErr w:type="spellStart"/>
      <w:r w:rsidRPr="00A273CA">
        <w:rPr>
          <w:rFonts w:ascii="Arial"/>
          <w:sz w:val="14"/>
          <w:lang w:val="it-IT"/>
        </w:rPr>
        <w:t>graduating</w:t>
      </w:r>
      <w:proofErr w:type="spellEnd"/>
      <w:r w:rsidRPr="00A273CA">
        <w:rPr>
          <w:rFonts w:ascii="Arial"/>
          <w:sz w:val="14"/>
          <w:lang w:val="it-IT"/>
        </w:rPr>
        <w:t xml:space="preserve"> in August 2020. </w:t>
      </w:r>
      <w:proofErr w:type="spellStart"/>
      <w:r w:rsidRPr="00A273CA">
        <w:rPr>
          <w:rFonts w:ascii="Arial"/>
          <w:sz w:val="14"/>
          <w:lang w:val="it-IT"/>
        </w:rPr>
        <w:t>They</w:t>
      </w:r>
      <w:proofErr w:type="spellEnd"/>
      <w:r w:rsidRPr="00A273CA">
        <w:rPr>
          <w:rFonts w:ascii="Arial"/>
          <w:sz w:val="14"/>
          <w:lang w:val="it-IT"/>
        </w:rPr>
        <w:t xml:space="preserve"> </w:t>
      </w:r>
      <w:proofErr w:type="spellStart"/>
      <w:r w:rsidRPr="00A273CA">
        <w:rPr>
          <w:rFonts w:ascii="Arial"/>
          <w:sz w:val="14"/>
          <w:lang w:val="it-IT"/>
        </w:rPr>
        <w:t>have</w:t>
      </w:r>
      <w:proofErr w:type="spellEnd"/>
      <w:r w:rsidRPr="00A273CA">
        <w:rPr>
          <w:rFonts w:ascii="Arial"/>
          <w:sz w:val="14"/>
          <w:lang w:val="it-IT"/>
        </w:rPr>
        <w:t xml:space="preserve"> a diverse background of </w:t>
      </w:r>
      <w:proofErr w:type="spellStart"/>
      <w:r w:rsidRPr="00A273CA">
        <w:rPr>
          <w:rFonts w:ascii="Arial"/>
          <w:sz w:val="14"/>
          <w:lang w:val="it-IT"/>
        </w:rPr>
        <w:t>experiences</w:t>
      </w:r>
      <w:proofErr w:type="spellEnd"/>
      <w:r w:rsidRPr="00A273CA">
        <w:rPr>
          <w:rFonts w:ascii="Arial"/>
          <w:sz w:val="14"/>
          <w:lang w:val="it-IT"/>
        </w:rPr>
        <w:t xml:space="preserve"> </w:t>
      </w:r>
      <w:proofErr w:type="spellStart"/>
      <w:r w:rsidRPr="00A273CA">
        <w:rPr>
          <w:rFonts w:ascii="Arial"/>
          <w:sz w:val="14"/>
          <w:lang w:val="it-IT"/>
        </w:rPr>
        <w:t>leading</w:t>
      </w:r>
      <w:proofErr w:type="spellEnd"/>
      <w:r w:rsidRPr="00A273CA">
        <w:rPr>
          <w:rFonts w:ascii="Arial"/>
          <w:sz w:val="14"/>
          <w:lang w:val="it-IT"/>
        </w:rPr>
        <w:t xml:space="preserve"> </w:t>
      </w:r>
      <w:proofErr w:type="spellStart"/>
      <w:r w:rsidRPr="00A273CA">
        <w:rPr>
          <w:rFonts w:ascii="Arial"/>
          <w:sz w:val="14"/>
          <w:lang w:val="it-IT"/>
        </w:rPr>
        <w:t>them</w:t>
      </w:r>
      <w:proofErr w:type="spellEnd"/>
      <w:r w:rsidRPr="00A273CA">
        <w:rPr>
          <w:rFonts w:ascii="Arial"/>
          <w:sz w:val="14"/>
          <w:lang w:val="it-IT"/>
        </w:rPr>
        <w:t xml:space="preserve"> to PA </w:t>
      </w:r>
      <w:proofErr w:type="spellStart"/>
      <w:r w:rsidRPr="00A273CA">
        <w:rPr>
          <w:rFonts w:ascii="Arial"/>
          <w:sz w:val="14"/>
          <w:lang w:val="it-IT"/>
        </w:rPr>
        <w:t>school</w:t>
      </w:r>
      <w:proofErr w:type="spellEnd"/>
      <w:r w:rsidRPr="00A273CA">
        <w:rPr>
          <w:rFonts w:ascii="Arial"/>
          <w:sz w:val="14"/>
          <w:lang w:val="it-IT"/>
        </w:rPr>
        <w:t xml:space="preserve"> </w:t>
      </w:r>
      <w:proofErr w:type="spellStart"/>
      <w:r w:rsidRPr="00A273CA">
        <w:rPr>
          <w:rFonts w:ascii="Arial"/>
          <w:sz w:val="14"/>
          <w:lang w:val="it-IT"/>
        </w:rPr>
        <w:t>including</w:t>
      </w:r>
      <w:proofErr w:type="spellEnd"/>
      <w:r w:rsidRPr="00A273CA">
        <w:rPr>
          <w:rFonts w:ascii="Arial"/>
          <w:sz w:val="14"/>
          <w:lang w:val="it-IT"/>
        </w:rPr>
        <w:t xml:space="preserve"> a </w:t>
      </w:r>
      <w:proofErr w:type="spellStart"/>
      <w:r w:rsidRPr="00A273CA">
        <w:rPr>
          <w:rFonts w:ascii="Arial"/>
          <w:sz w:val="14"/>
          <w:lang w:val="it-IT"/>
        </w:rPr>
        <w:t>prior</w:t>
      </w:r>
      <w:proofErr w:type="spellEnd"/>
      <w:r w:rsidRPr="00A273CA">
        <w:rPr>
          <w:rFonts w:ascii="Arial"/>
          <w:sz w:val="14"/>
          <w:lang w:val="it-IT"/>
        </w:rPr>
        <w:t xml:space="preserve"> career in </w:t>
      </w:r>
      <w:proofErr w:type="spellStart"/>
      <w:r w:rsidRPr="00A273CA">
        <w:rPr>
          <w:rFonts w:ascii="Arial"/>
          <w:sz w:val="14"/>
          <w:lang w:val="it-IT"/>
        </w:rPr>
        <w:t>biomedical</w:t>
      </w:r>
      <w:proofErr w:type="spellEnd"/>
      <w:r w:rsidRPr="00A273CA">
        <w:rPr>
          <w:rFonts w:ascii="Arial"/>
          <w:sz w:val="14"/>
          <w:lang w:val="it-IT"/>
        </w:rPr>
        <w:t xml:space="preserve"> </w:t>
      </w:r>
      <w:proofErr w:type="spellStart"/>
      <w:r w:rsidRPr="00A273CA">
        <w:rPr>
          <w:rFonts w:ascii="Arial"/>
          <w:sz w:val="14"/>
          <w:lang w:val="it-IT"/>
        </w:rPr>
        <w:t>engineering</w:t>
      </w:r>
      <w:proofErr w:type="spellEnd"/>
      <w:r w:rsidRPr="00A273CA">
        <w:rPr>
          <w:rFonts w:ascii="Arial"/>
          <w:sz w:val="14"/>
          <w:lang w:val="it-IT"/>
        </w:rPr>
        <w:t xml:space="preserve">, background in </w:t>
      </w:r>
      <w:proofErr w:type="spellStart"/>
      <w:r w:rsidRPr="00A273CA">
        <w:rPr>
          <w:rFonts w:ascii="Arial"/>
          <w:sz w:val="14"/>
          <w:lang w:val="it-IT"/>
        </w:rPr>
        <w:t>emergency</w:t>
      </w:r>
      <w:proofErr w:type="spellEnd"/>
      <w:r w:rsidRPr="00A273CA">
        <w:rPr>
          <w:rFonts w:ascii="Arial"/>
          <w:sz w:val="14"/>
          <w:lang w:val="it-IT"/>
        </w:rPr>
        <w:t xml:space="preserve"> medicine, and </w:t>
      </w:r>
      <w:proofErr w:type="spellStart"/>
      <w:r w:rsidRPr="00A273CA">
        <w:rPr>
          <w:rFonts w:ascii="Arial"/>
          <w:sz w:val="14"/>
          <w:lang w:val="it-IT"/>
        </w:rPr>
        <w:t>child</w:t>
      </w:r>
      <w:proofErr w:type="spellEnd"/>
      <w:r w:rsidRPr="00A273CA">
        <w:rPr>
          <w:rFonts w:ascii="Arial"/>
          <w:sz w:val="14"/>
          <w:lang w:val="it-IT"/>
        </w:rPr>
        <w:t xml:space="preserve"> </w:t>
      </w:r>
      <w:proofErr w:type="spellStart"/>
      <w:r w:rsidRPr="00A273CA">
        <w:rPr>
          <w:rFonts w:ascii="Arial"/>
          <w:sz w:val="14"/>
          <w:lang w:val="it-IT"/>
        </w:rPr>
        <w:t>development</w:t>
      </w:r>
      <w:proofErr w:type="spellEnd"/>
      <w:r w:rsidRPr="00A273CA">
        <w:rPr>
          <w:rFonts w:ascii="Arial"/>
          <w:sz w:val="14"/>
          <w:lang w:val="it-IT"/>
        </w:rPr>
        <w:t xml:space="preserve">. </w:t>
      </w:r>
      <w:proofErr w:type="spellStart"/>
      <w:r w:rsidRPr="00A273CA">
        <w:rPr>
          <w:rFonts w:ascii="Arial"/>
          <w:sz w:val="14"/>
          <w:lang w:val="it-IT"/>
        </w:rPr>
        <w:t>They</w:t>
      </w:r>
      <w:proofErr w:type="spellEnd"/>
      <w:r w:rsidRPr="00A273CA">
        <w:rPr>
          <w:rFonts w:ascii="Arial"/>
          <w:sz w:val="14"/>
          <w:lang w:val="it-IT"/>
        </w:rPr>
        <w:t xml:space="preserve"> </w:t>
      </w:r>
      <w:proofErr w:type="spellStart"/>
      <w:r w:rsidRPr="00A273CA">
        <w:rPr>
          <w:rFonts w:ascii="Arial"/>
          <w:sz w:val="14"/>
          <w:lang w:val="it-IT"/>
        </w:rPr>
        <w:t>will</w:t>
      </w:r>
      <w:proofErr w:type="spellEnd"/>
      <w:r w:rsidRPr="00A273CA">
        <w:rPr>
          <w:rFonts w:ascii="Arial"/>
          <w:sz w:val="14"/>
          <w:lang w:val="it-IT"/>
        </w:rPr>
        <w:t xml:space="preserve"> be </w:t>
      </w:r>
      <w:proofErr w:type="spellStart"/>
      <w:r w:rsidRPr="00A273CA">
        <w:rPr>
          <w:rFonts w:ascii="Arial"/>
          <w:sz w:val="14"/>
          <w:lang w:val="it-IT"/>
        </w:rPr>
        <w:t>pursuing</w:t>
      </w:r>
      <w:proofErr w:type="spellEnd"/>
      <w:r w:rsidRPr="00A273CA">
        <w:rPr>
          <w:rFonts w:ascii="Arial"/>
          <w:sz w:val="14"/>
          <w:lang w:val="it-IT"/>
        </w:rPr>
        <w:t xml:space="preserve"> </w:t>
      </w:r>
      <w:proofErr w:type="spellStart"/>
      <w:r w:rsidRPr="00A273CA">
        <w:rPr>
          <w:rFonts w:ascii="Arial"/>
          <w:sz w:val="14"/>
          <w:lang w:val="it-IT"/>
        </w:rPr>
        <w:t>careers</w:t>
      </w:r>
      <w:proofErr w:type="spellEnd"/>
      <w:r w:rsidRPr="00A273CA">
        <w:rPr>
          <w:rFonts w:ascii="Arial"/>
          <w:sz w:val="14"/>
          <w:lang w:val="it-IT"/>
        </w:rPr>
        <w:t xml:space="preserve"> in Texas </w:t>
      </w:r>
      <w:proofErr w:type="spellStart"/>
      <w:r w:rsidRPr="00A273CA">
        <w:rPr>
          <w:rFonts w:ascii="Arial"/>
          <w:sz w:val="14"/>
          <w:lang w:val="it-IT"/>
        </w:rPr>
        <w:t>after</w:t>
      </w:r>
      <w:proofErr w:type="spellEnd"/>
      <w:r w:rsidRPr="00A273CA">
        <w:rPr>
          <w:rFonts w:ascii="Arial"/>
          <w:sz w:val="14"/>
          <w:lang w:val="it-IT"/>
        </w:rPr>
        <w:t xml:space="preserve"> </w:t>
      </w:r>
      <w:proofErr w:type="spellStart"/>
      <w:r w:rsidRPr="00A273CA">
        <w:rPr>
          <w:rFonts w:ascii="Arial"/>
          <w:sz w:val="14"/>
          <w:lang w:val="it-IT"/>
        </w:rPr>
        <w:t>graduation</w:t>
      </w:r>
      <w:proofErr w:type="spellEnd"/>
      <w:r w:rsidRPr="00A273CA">
        <w:rPr>
          <w:rFonts w:ascii="Arial"/>
          <w:sz w:val="14"/>
          <w:lang w:val="it-IT"/>
        </w:rPr>
        <w:t xml:space="preserve">. </w:t>
      </w:r>
      <w:r w:rsidRPr="00A273CA">
        <w:rPr>
          <w:rFonts w:ascii="Arial"/>
          <w:sz w:val="14"/>
          <w:lang w:val="it-IT"/>
        </w:rPr>
        <w:tab/>
      </w:r>
    </w:p>
    <w:p w14:paraId="17D6574F" w14:textId="330DF052" w:rsidR="00A273CA" w:rsidRPr="00A273CA" w:rsidRDefault="00A9710C" w:rsidP="00A273CA">
      <w:pPr>
        <w:spacing w:before="62"/>
        <w:jc w:val="center"/>
        <w:rPr>
          <w:rFonts w:ascii="Arial"/>
          <w:sz w:val="14"/>
        </w:rPr>
        <w:sectPr w:rsidR="00A273CA" w:rsidRPr="00A273CA">
          <w:type w:val="continuous"/>
          <w:pgSz w:w="11910" w:h="16840"/>
          <w:pgMar w:top="1740" w:right="600" w:bottom="840" w:left="620" w:header="720" w:footer="720" w:gutter="0"/>
          <w:cols w:space="720"/>
        </w:sectPr>
      </w:pPr>
      <w:r>
        <w:rPr>
          <w:rFonts w:ascii="Arial"/>
          <w:sz w:val="14"/>
        </w:rPr>
        <w:t xml:space="preserve">Email: </w:t>
      </w:r>
      <w:hyperlink r:id="rId14" w:history="1">
        <w:r w:rsidR="00A273CA" w:rsidRPr="008D4E50">
          <w:rPr>
            <w:rStyle w:val="Hyperlink"/>
            <w:rFonts w:ascii="Arial"/>
            <w:sz w:val="14"/>
          </w:rPr>
          <w:t>raboysen@utmb.edu</w:t>
        </w:r>
      </w:hyperlink>
      <w:r w:rsidR="00A273CA">
        <w:rPr>
          <w:rFonts w:ascii="Arial"/>
          <w:sz w:val="14"/>
        </w:rPr>
        <w:t xml:space="preserve">, </w:t>
      </w:r>
      <w:hyperlink r:id="rId15" w:history="1">
        <w:r w:rsidR="00A273CA" w:rsidRPr="008D4E50">
          <w:rPr>
            <w:rStyle w:val="Hyperlink"/>
            <w:rFonts w:ascii="Arial"/>
            <w:sz w:val="14"/>
          </w:rPr>
          <w:t>lshansen@utmb.edu</w:t>
        </w:r>
      </w:hyperlink>
      <w:r w:rsidR="00A273CA">
        <w:rPr>
          <w:rFonts w:ascii="Arial"/>
          <w:sz w:val="14"/>
        </w:rPr>
        <w:t xml:space="preserve">, </w:t>
      </w:r>
      <w:hyperlink r:id="rId16" w:history="1">
        <w:r w:rsidR="00A273CA" w:rsidRPr="008D4E50">
          <w:rPr>
            <w:rStyle w:val="Hyperlink"/>
            <w:rFonts w:ascii="Arial"/>
            <w:sz w:val="14"/>
          </w:rPr>
          <w:t>memehali@utmb.e</w:t>
        </w:r>
        <w:r w:rsidR="00A273CA" w:rsidRPr="008D4E50">
          <w:rPr>
            <w:rStyle w:val="Hyperlink"/>
            <w:noProof/>
            <w:lang w:val="en-IN" w:eastAsia="en-IN"/>
          </w:rPr>
          <mc:AlternateContent>
            <mc:Choice Requires="wps">
              <w:drawing>
                <wp:anchor distT="0" distB="0" distL="0" distR="0" simplePos="0" relativeHeight="251659264" behindDoc="0" locked="0" layoutInCell="1" allowOverlap="1" wp14:anchorId="71831EEF" wp14:editId="4E46B78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8FA90"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r w:rsidR="00A273CA" w:rsidRPr="008D4E50">
          <w:rPr>
            <w:rStyle w:val="Hyperlink"/>
            <w:rFonts w:ascii="Arial"/>
            <w:sz w:val="14"/>
          </w:rPr>
          <w:t>du</w:t>
        </w:r>
      </w:hyperlink>
      <w:r w:rsidR="00A273CA">
        <w:rPr>
          <w:rFonts w:ascii="Arial"/>
          <w:sz w:val="14"/>
        </w:rPr>
        <w:t xml:space="preserve"> </w:t>
      </w:r>
    </w:p>
    <w:p w14:paraId="14E0323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8465C" w14:textId="77777777" w:rsidR="007A6A21" w:rsidRDefault="007A6A21">
      <w:r>
        <w:separator/>
      </w:r>
    </w:p>
  </w:endnote>
  <w:endnote w:type="continuationSeparator" w:id="0">
    <w:p w14:paraId="47B4FA87" w14:textId="77777777" w:rsidR="007A6A21" w:rsidRDefault="007A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altName w:val="Calibri"/>
    <w:panose1 w:val="020B0604020202020204"/>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218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8078F87" wp14:editId="1519EEC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CAFC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2F8EF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78F8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2D3CAFC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2F8EF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EA461A" wp14:editId="1C9005F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9C3A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A27A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A461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1209C3A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A27A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C40FF16" wp14:editId="4486D79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EEE7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EE277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0FF1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C5EEE7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EE277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04CF2" w14:textId="77777777" w:rsidR="007A6A21" w:rsidRDefault="007A6A21">
      <w:r>
        <w:separator/>
      </w:r>
    </w:p>
  </w:footnote>
  <w:footnote w:type="continuationSeparator" w:id="0">
    <w:p w14:paraId="0D2D85EE" w14:textId="77777777" w:rsidR="007A6A21" w:rsidRDefault="007A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5CF8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40283CA" wp14:editId="2F86C6C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9AB9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283C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0409AB9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084BDCC" wp14:editId="5F721E7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E47B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11B34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4BDC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06FE47B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11B34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A6A21"/>
    <w:rsid w:val="00873DF0"/>
    <w:rsid w:val="008756E6"/>
    <w:rsid w:val="009B2D44"/>
    <w:rsid w:val="00A07E82"/>
    <w:rsid w:val="00A273CA"/>
    <w:rsid w:val="00A9710C"/>
    <w:rsid w:val="00AE3E37"/>
    <w:rsid w:val="00B21A57"/>
    <w:rsid w:val="00C33602"/>
    <w:rsid w:val="00CD6F55"/>
    <w:rsid w:val="00D62425"/>
    <w:rsid w:val="00DE3104"/>
    <w:rsid w:val="00E356F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C1057"/>
  <w15:docId w15:val="{BE88474E-E41F-3D45-BFB0-BACAB4C34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27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emehali@utmb.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lshansen@utmb.edu" TargetMode="Externa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aboysen@utmb.ed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E4E05-7C1A-684F-8E58-87CC74579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Boysen, Rachel</cp:lastModifiedBy>
  <cp:revision>3</cp:revision>
  <dcterms:created xsi:type="dcterms:W3CDTF">2020-07-22T17:55:00Z</dcterms:created>
  <dcterms:modified xsi:type="dcterms:W3CDTF">2020-07-22T17:55:00Z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