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50A97C" w14:textId="6AF4A209" w:rsidR="00542372" w:rsidRDefault="005B2A5D" w:rsidP="00542372">
      <w:pPr>
        <w:widowControl/>
        <w:autoSpaceDE w:val="0"/>
        <w:autoSpaceDN w:val="0"/>
        <w:adjustRightInd w:val="0"/>
        <w:rPr>
          <w:rFonts w:ascii="MyriadPro-Regular" w:eastAsiaTheme="minorHAnsi" w:hAnsi="MyriadPro-Regular" w:cs="MyriadPro-Regular"/>
          <w:color w:val="548DD4" w:themeColor="text2" w:themeTint="99"/>
          <w:sz w:val="36"/>
          <w:szCs w:val="36"/>
        </w:rPr>
      </w:pPr>
      <w:r w:rsidRPr="00542372">
        <w:rPr>
          <w:rFonts w:ascii="MyriadPro-Regular" w:eastAsiaTheme="minorHAnsi" w:hAnsi="MyriadPro-Regular" w:cs="MyriadPro-Regular"/>
          <w:color w:val="548DD4" w:themeColor="text2" w:themeTint="99"/>
          <w:sz w:val="36"/>
          <w:szCs w:val="36"/>
        </w:rPr>
        <w:t>Clinical and genetic investigation of ichthyosis in familial and sporadic cases in south of Tunisia: genotype–phenotype correlation</w:t>
      </w:r>
    </w:p>
    <w:p w14:paraId="45F922EA" w14:textId="77777777" w:rsidR="00542372" w:rsidRPr="00542372" w:rsidRDefault="00542372" w:rsidP="00542372">
      <w:pPr>
        <w:widowControl/>
        <w:autoSpaceDE w:val="0"/>
        <w:autoSpaceDN w:val="0"/>
        <w:adjustRightInd w:val="0"/>
        <w:rPr>
          <w:rFonts w:ascii="MyriadPro-Regular" w:eastAsiaTheme="minorHAnsi" w:hAnsi="MyriadPro-Regular" w:cs="MyriadPro-Regular"/>
          <w:color w:val="548DD4" w:themeColor="text2" w:themeTint="99"/>
          <w:sz w:val="36"/>
          <w:szCs w:val="36"/>
        </w:rPr>
      </w:pPr>
    </w:p>
    <w:p w14:paraId="447DAD42" w14:textId="029CA5B1" w:rsidR="00AE3E37" w:rsidRPr="0074332B" w:rsidRDefault="007E09E4" w:rsidP="0074332B">
      <w:pPr>
        <w:pStyle w:val="Corpsdetexte"/>
        <w:jc w:val="both"/>
        <w:rPr>
          <w:rFonts w:ascii="Arial"/>
        </w:rPr>
        <w:sectPr w:rsidR="00AE3E37" w:rsidRPr="0074332B">
          <w:headerReference w:type="default" r:id="rId7"/>
          <w:footerReference w:type="default" r:id="rId8"/>
          <w:type w:val="continuous"/>
          <w:pgSz w:w="11910" w:h="16840"/>
          <w:pgMar w:top="1740" w:right="600" w:bottom="840" w:left="620" w:header="541" w:footer="642" w:gutter="0"/>
          <w:cols w:space="720"/>
        </w:sectPr>
      </w:pPr>
      <w:proofErr w:type="gramStart"/>
      <w:r>
        <w:rPr>
          <w:rFonts w:ascii="Arial"/>
        </w:rPr>
        <w:t>Dr.</w:t>
      </w:r>
      <w:r w:rsidR="005B2A5D" w:rsidRPr="005B2A5D">
        <w:rPr>
          <w:rFonts w:ascii="Arial"/>
        </w:rPr>
        <w:t>Mariem</w:t>
      </w:r>
      <w:proofErr w:type="gramEnd"/>
      <w:r w:rsidR="005B2A5D" w:rsidRPr="005B2A5D">
        <w:rPr>
          <w:rFonts w:ascii="Arial"/>
        </w:rPr>
        <w:t xml:space="preserve"> Ennouri,</w:t>
      </w:r>
      <w:r>
        <w:rPr>
          <w:rFonts w:ascii="Arial"/>
        </w:rPr>
        <w:t xml:space="preserve"> PhD, University of Sfax, Tunisia; Dr.</w:t>
      </w:r>
      <w:r w:rsidR="005B2A5D" w:rsidRPr="005B2A5D">
        <w:rPr>
          <w:rFonts w:ascii="Arial"/>
        </w:rPr>
        <w:t xml:space="preserve">Andreas D. Zimmer, </w:t>
      </w:r>
      <w:r w:rsidR="00ED7AA9">
        <w:rPr>
          <w:rFonts w:ascii="Arial"/>
        </w:rPr>
        <w:t xml:space="preserve">PhD, </w:t>
      </w:r>
      <w:r w:rsidR="00ED7AA9" w:rsidRPr="00ED7AA9">
        <w:rPr>
          <w:rFonts w:ascii="Arial"/>
        </w:rPr>
        <w:t>University of Freiburg,Germany</w:t>
      </w:r>
      <w:r w:rsidR="00ED7AA9">
        <w:rPr>
          <w:rFonts w:ascii="Arial"/>
        </w:rPr>
        <w:t xml:space="preserve">; Dr. </w:t>
      </w:r>
      <w:r w:rsidR="005B2A5D" w:rsidRPr="005B2A5D">
        <w:rPr>
          <w:rFonts w:ascii="Arial"/>
        </w:rPr>
        <w:t xml:space="preserve">Emna Bahloul, </w:t>
      </w:r>
      <w:r w:rsidR="00ED7AA9">
        <w:rPr>
          <w:rFonts w:ascii="Arial"/>
        </w:rPr>
        <w:t xml:space="preserve">Doctor, University of Sfax, Tunisia; Dr. </w:t>
      </w:r>
      <w:r w:rsidR="005B2A5D" w:rsidRPr="005B2A5D">
        <w:rPr>
          <w:rFonts w:ascii="Arial"/>
        </w:rPr>
        <w:t xml:space="preserve">Rim Chaabouni, </w:t>
      </w:r>
      <w:r w:rsidR="00ED7AA9">
        <w:rPr>
          <w:rFonts w:ascii="Arial"/>
        </w:rPr>
        <w:t xml:space="preserve">Doctor, University of Sfax, Tunisia; Dr. </w:t>
      </w:r>
      <w:r w:rsidR="005B2A5D" w:rsidRPr="005B2A5D">
        <w:rPr>
          <w:rFonts w:ascii="Arial"/>
        </w:rPr>
        <w:t>Slaheddine Marrakchi,</w:t>
      </w:r>
      <w:r w:rsidR="00ED7AA9" w:rsidRPr="00ED7AA9">
        <w:rPr>
          <w:rFonts w:ascii="Arial"/>
        </w:rPr>
        <w:t xml:space="preserve"> </w:t>
      </w:r>
      <w:r w:rsidR="00ED7AA9">
        <w:rPr>
          <w:rFonts w:ascii="Arial"/>
        </w:rPr>
        <w:t xml:space="preserve">Doctor, University of Sfax, Tunisia; Dr. </w:t>
      </w:r>
      <w:r w:rsidR="005B2A5D" w:rsidRPr="005B2A5D">
        <w:rPr>
          <w:rFonts w:ascii="Arial"/>
        </w:rPr>
        <w:t xml:space="preserve">Hamida Turki, </w:t>
      </w:r>
      <w:r w:rsidR="00ED7AA9">
        <w:rPr>
          <w:rFonts w:ascii="Arial"/>
        </w:rPr>
        <w:t xml:space="preserve">Doctor, University of Sfax, Tunisia; Pr. </w:t>
      </w:r>
      <w:r w:rsidR="005B2A5D" w:rsidRPr="005B2A5D">
        <w:rPr>
          <w:rFonts w:ascii="Arial"/>
        </w:rPr>
        <w:t xml:space="preserve">Faiza Fakhfakh, </w:t>
      </w:r>
      <w:r w:rsidR="000C3501" w:rsidRPr="0074332B">
        <w:rPr>
          <w:rFonts w:ascii="Arial"/>
        </w:rPr>
        <w:t>P</w:t>
      </w:r>
      <w:r w:rsidR="00ED7AA9" w:rsidRPr="0074332B">
        <w:rPr>
          <w:rFonts w:ascii="Arial"/>
        </w:rPr>
        <w:t xml:space="preserve">rofessor, University of Sfax, Tunisia;; Pr. </w:t>
      </w:r>
      <w:r w:rsidR="005B2A5D" w:rsidRPr="0074332B">
        <w:rPr>
          <w:rFonts w:ascii="Arial"/>
        </w:rPr>
        <w:t>Judith Fischer</w:t>
      </w:r>
      <w:r w:rsidR="00ED7AA9" w:rsidRPr="0074332B">
        <w:rPr>
          <w:rFonts w:ascii="Arial"/>
        </w:rPr>
        <w:t xml:space="preserve">, Professor, University of </w:t>
      </w:r>
      <w:proofErr w:type="spellStart"/>
      <w:r w:rsidR="00ED7AA9" w:rsidRPr="0074332B">
        <w:rPr>
          <w:rFonts w:ascii="Arial"/>
        </w:rPr>
        <w:t>Freiburg,Germany</w:t>
      </w:r>
      <w:proofErr w:type="spellEnd"/>
      <w:r w:rsidR="0074332B" w:rsidRPr="0074332B">
        <w:rPr>
          <w:rFonts w:ascii="Arial"/>
        </w:rPr>
        <w:t xml:space="preserve">; </w:t>
      </w:r>
      <w:r w:rsidR="0074332B" w:rsidRPr="0074332B">
        <w:rPr>
          <w:rFonts w:ascii="Arial"/>
        </w:rPr>
        <w:t xml:space="preserve">Pr. </w:t>
      </w:r>
      <w:proofErr w:type="spellStart"/>
      <w:r w:rsidR="0074332B" w:rsidRPr="0074332B">
        <w:rPr>
          <w:rFonts w:ascii="Arial"/>
        </w:rPr>
        <w:t>Noura</w:t>
      </w:r>
      <w:proofErr w:type="spellEnd"/>
      <w:r w:rsidR="0074332B" w:rsidRPr="0074332B">
        <w:rPr>
          <w:rFonts w:ascii="Arial"/>
        </w:rPr>
        <w:t xml:space="preserve"> </w:t>
      </w:r>
      <w:proofErr w:type="spellStart"/>
      <w:r w:rsidR="0074332B" w:rsidRPr="0074332B">
        <w:rPr>
          <w:rFonts w:ascii="Arial"/>
        </w:rPr>
        <w:t>Bougacha</w:t>
      </w:r>
      <w:r w:rsidR="0074332B" w:rsidRPr="0074332B">
        <w:rPr>
          <w:rFonts w:ascii="Cambria Math" w:hAnsi="Cambria Math" w:cs="Cambria Math"/>
        </w:rPr>
        <w:t>‑</w:t>
      </w:r>
      <w:r w:rsidR="0074332B" w:rsidRPr="0074332B">
        <w:rPr>
          <w:rFonts w:ascii="Arial"/>
        </w:rPr>
        <w:t>Elleuch</w:t>
      </w:r>
      <w:proofErr w:type="spellEnd"/>
      <w:r w:rsidR="0074332B" w:rsidRPr="0074332B">
        <w:rPr>
          <w:rFonts w:ascii="Arial"/>
        </w:rPr>
        <w:t xml:space="preserve">, Professor, University </w:t>
      </w:r>
      <w:r w:rsidR="0074332B">
        <w:rPr>
          <w:rFonts w:ascii="Arial"/>
        </w:rPr>
        <w:t>of Sfax, Tunisia</w:t>
      </w:r>
      <w:r w:rsidR="00AF0E9C" w:rsidRPr="0074332B">
        <w:rPr>
          <w:rFonts w:ascii="Arial"/>
          <w:sz w:val="21"/>
        </w:rPr>
        <w:t xml:space="preserve"> </w:t>
      </w:r>
      <w:r w:rsidR="00CF7591" w:rsidRPr="0074332B">
        <w:rPr>
          <w:rFonts w:ascii="Arial"/>
          <w:sz w:val="21"/>
        </w:rPr>
        <w:t xml:space="preserve"> </w:t>
      </w:r>
    </w:p>
    <w:p w14:paraId="246C8C07" w14:textId="77777777" w:rsidR="00AE3E37" w:rsidRDefault="00A9710C">
      <w:pPr>
        <w:pStyle w:val="Titre3"/>
        <w:spacing w:before="147"/>
        <w:jc w:val="both"/>
      </w:pPr>
      <w:r>
        <w:rPr>
          <w:color w:val="BF5A14"/>
        </w:rPr>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14:paraId="1709CB86" w14:textId="3875E9AC" w:rsidR="00972FE4" w:rsidRPr="00972FE4" w:rsidRDefault="00972FE4" w:rsidP="00972FE4">
      <w:pPr>
        <w:pStyle w:val="Titre3"/>
        <w:spacing w:before="74"/>
        <w:jc w:val="both"/>
        <w:rPr>
          <w:rFonts w:ascii="Tw Cen MT" w:eastAsia="Tw Cen MT" w:hAnsi="Tw Cen MT" w:cs="Tw Cen MT"/>
          <w:b w:val="0"/>
          <w:bCs w:val="0"/>
          <w:sz w:val="18"/>
          <w:szCs w:val="18"/>
        </w:rPr>
      </w:pPr>
      <w:r w:rsidRPr="00972FE4">
        <w:rPr>
          <w:rFonts w:ascii="Tw Cen MT" w:eastAsia="Tw Cen MT" w:hAnsi="Tw Cen MT" w:cs="Tw Cen MT"/>
          <w:b w:val="0"/>
          <w:bCs w:val="0"/>
          <w:sz w:val="18"/>
          <w:szCs w:val="18"/>
        </w:rPr>
        <w:t>Background: Ichthyosis is a heterogeneous group of Mendelian cornification disorders that includes syndromic and</w:t>
      </w:r>
      <w:r>
        <w:rPr>
          <w:rFonts w:ascii="Tw Cen MT" w:eastAsia="Tw Cen MT" w:hAnsi="Tw Cen MT" w:cs="Tw Cen MT"/>
          <w:b w:val="0"/>
          <w:bCs w:val="0"/>
          <w:sz w:val="18"/>
          <w:szCs w:val="18"/>
        </w:rPr>
        <w:t xml:space="preserve"> </w:t>
      </w:r>
      <w:r w:rsidRPr="00972FE4">
        <w:rPr>
          <w:rFonts w:ascii="Tw Cen MT" w:eastAsia="Tw Cen MT" w:hAnsi="Tw Cen MT" w:cs="Tw Cen MT"/>
          <w:b w:val="0"/>
          <w:bCs w:val="0"/>
          <w:sz w:val="18"/>
          <w:szCs w:val="18"/>
        </w:rPr>
        <w:t>non-syndromic forms. Autosomal Recessive Congenital Ichthyosis (ARCI) and Ichthyosis Linearis Circumflexa (ILC)</w:t>
      </w:r>
      <w:r>
        <w:rPr>
          <w:rFonts w:ascii="Tw Cen MT" w:eastAsia="Tw Cen MT" w:hAnsi="Tw Cen MT" w:cs="Tw Cen MT"/>
          <w:b w:val="0"/>
          <w:bCs w:val="0"/>
          <w:sz w:val="18"/>
          <w:szCs w:val="18"/>
        </w:rPr>
        <w:t xml:space="preserve"> </w:t>
      </w:r>
      <w:r w:rsidRPr="00972FE4">
        <w:rPr>
          <w:rFonts w:ascii="Tw Cen MT" w:eastAsia="Tw Cen MT" w:hAnsi="Tw Cen MT" w:cs="Tw Cen MT"/>
          <w:b w:val="0"/>
          <w:bCs w:val="0"/>
          <w:sz w:val="18"/>
          <w:szCs w:val="18"/>
        </w:rPr>
        <w:t>belong to non-syndromic forms. Syndromic ichthyosis is rather a large group of heterogeneous diseases. Overlapping</w:t>
      </w:r>
      <w:r>
        <w:rPr>
          <w:rFonts w:ascii="Tw Cen MT" w:eastAsia="Tw Cen MT" w:hAnsi="Tw Cen MT" w:cs="Tw Cen MT"/>
          <w:b w:val="0"/>
          <w:bCs w:val="0"/>
          <w:sz w:val="18"/>
          <w:szCs w:val="18"/>
        </w:rPr>
        <w:t xml:space="preserve"> </w:t>
      </w:r>
      <w:r w:rsidRPr="00972FE4">
        <w:rPr>
          <w:rFonts w:ascii="Tw Cen MT" w:eastAsia="Tw Cen MT" w:hAnsi="Tw Cen MT" w:cs="Tw Cen MT"/>
          <w:b w:val="0"/>
          <w:bCs w:val="0"/>
          <w:sz w:val="18"/>
          <w:szCs w:val="18"/>
        </w:rPr>
        <w:t>phenotypes and genotypes between these disorders is a major characteristic. Therefore, determining the specific</w:t>
      </w:r>
      <w:r>
        <w:rPr>
          <w:rFonts w:ascii="Tw Cen MT" w:eastAsia="Tw Cen MT" w:hAnsi="Tw Cen MT" w:cs="Tw Cen MT"/>
          <w:b w:val="0"/>
          <w:bCs w:val="0"/>
          <w:sz w:val="18"/>
          <w:szCs w:val="18"/>
        </w:rPr>
        <w:t xml:space="preserve"> </w:t>
      </w:r>
      <w:r w:rsidRPr="00972FE4">
        <w:rPr>
          <w:rFonts w:ascii="Tw Cen MT" w:eastAsia="Tw Cen MT" w:hAnsi="Tw Cen MT" w:cs="Tw Cen MT"/>
          <w:b w:val="0"/>
          <w:bCs w:val="0"/>
          <w:sz w:val="18"/>
          <w:szCs w:val="18"/>
        </w:rPr>
        <w:t>genetic</w:t>
      </w:r>
      <w:r>
        <w:rPr>
          <w:rFonts w:ascii="Tw Cen MT" w:eastAsia="Tw Cen MT" w:hAnsi="Tw Cen MT" w:cs="Tw Cen MT"/>
          <w:b w:val="0"/>
          <w:bCs w:val="0"/>
          <w:sz w:val="18"/>
          <w:szCs w:val="18"/>
        </w:rPr>
        <w:t xml:space="preserve"> </w:t>
      </w:r>
      <w:r w:rsidRPr="00972FE4">
        <w:rPr>
          <w:rFonts w:ascii="Tw Cen MT" w:eastAsia="Tw Cen MT" w:hAnsi="Tw Cen MT" w:cs="Tw Cen MT"/>
          <w:b w:val="0"/>
          <w:bCs w:val="0"/>
          <w:sz w:val="18"/>
          <w:szCs w:val="18"/>
        </w:rPr>
        <w:t>background for each form would be necessary.</w:t>
      </w:r>
    </w:p>
    <w:p w14:paraId="21944F50" w14:textId="1BCA84DC" w:rsidR="00972FE4" w:rsidRPr="00972FE4" w:rsidRDefault="00972FE4" w:rsidP="00972FE4">
      <w:pPr>
        <w:pStyle w:val="Titre3"/>
        <w:spacing w:before="74"/>
        <w:jc w:val="both"/>
        <w:rPr>
          <w:rFonts w:ascii="Tw Cen MT" w:eastAsia="Tw Cen MT" w:hAnsi="Tw Cen MT" w:cs="Tw Cen MT"/>
          <w:b w:val="0"/>
          <w:bCs w:val="0"/>
          <w:sz w:val="18"/>
          <w:szCs w:val="18"/>
        </w:rPr>
      </w:pPr>
      <w:r w:rsidRPr="00972FE4">
        <w:rPr>
          <w:rFonts w:ascii="Tw Cen MT" w:eastAsia="Tw Cen MT" w:hAnsi="Tw Cen MT" w:cs="Tw Cen MT"/>
          <w:b w:val="0"/>
          <w:bCs w:val="0"/>
          <w:sz w:val="18"/>
          <w:szCs w:val="18"/>
        </w:rPr>
        <w:t>Methods: A total of 11 Tunisian patients with non-syndromic (8 with ARCI and 2 with ILC) and autosomal syndromic</w:t>
      </w:r>
      <w:r>
        <w:rPr>
          <w:rFonts w:ascii="Tw Cen MT" w:eastAsia="Tw Cen MT" w:hAnsi="Tw Cen MT" w:cs="Tw Cen MT"/>
          <w:b w:val="0"/>
          <w:bCs w:val="0"/>
          <w:sz w:val="18"/>
          <w:szCs w:val="18"/>
        </w:rPr>
        <w:t xml:space="preserve"> </w:t>
      </w:r>
      <w:r w:rsidRPr="00972FE4">
        <w:rPr>
          <w:rFonts w:ascii="Tw Cen MT" w:eastAsia="Tw Cen MT" w:hAnsi="Tw Cen MT" w:cs="Tw Cen MT"/>
          <w:b w:val="0"/>
          <w:bCs w:val="0"/>
          <w:sz w:val="18"/>
          <w:szCs w:val="18"/>
        </w:rPr>
        <w:t>ichthyosis (1 patient) were screened by a custom Agilent HaloPlex multi-gene panel and the segregation of causative</w:t>
      </w:r>
      <w:r>
        <w:rPr>
          <w:rFonts w:ascii="Tw Cen MT" w:eastAsia="Tw Cen MT" w:hAnsi="Tw Cen MT" w:cs="Tw Cen MT"/>
          <w:b w:val="0"/>
          <w:bCs w:val="0"/>
          <w:sz w:val="18"/>
          <w:szCs w:val="18"/>
        </w:rPr>
        <w:t xml:space="preserve"> </w:t>
      </w:r>
      <w:r w:rsidRPr="00972FE4">
        <w:rPr>
          <w:rFonts w:ascii="Tw Cen MT" w:eastAsia="Tw Cen MT" w:hAnsi="Tw Cen MT" w:cs="Tw Cen MT"/>
          <w:b w:val="0"/>
          <w:bCs w:val="0"/>
          <w:sz w:val="18"/>
          <w:szCs w:val="18"/>
        </w:rPr>
        <w:t>mutations were analyzed in available family members.</w:t>
      </w:r>
    </w:p>
    <w:p w14:paraId="16B40F90" w14:textId="635976F3" w:rsidR="00972FE4" w:rsidRPr="00972FE4" w:rsidRDefault="00972FE4" w:rsidP="00972FE4">
      <w:pPr>
        <w:pStyle w:val="Titre3"/>
        <w:spacing w:before="74"/>
        <w:jc w:val="both"/>
        <w:rPr>
          <w:rFonts w:ascii="Tw Cen MT" w:eastAsia="Tw Cen MT" w:hAnsi="Tw Cen MT" w:cs="Tw Cen MT"/>
          <w:b w:val="0"/>
          <w:bCs w:val="0"/>
          <w:sz w:val="18"/>
          <w:szCs w:val="18"/>
        </w:rPr>
      </w:pPr>
      <w:r w:rsidRPr="00972FE4">
        <w:rPr>
          <w:rFonts w:ascii="Tw Cen MT" w:eastAsia="Tw Cen MT" w:hAnsi="Tw Cen MT" w:cs="Tw Cen MT"/>
          <w:b w:val="0"/>
          <w:bCs w:val="0"/>
          <w:sz w:val="18"/>
          <w:szCs w:val="18"/>
        </w:rPr>
        <w:t>Results: Clinical and molecular characterization, leading to genotype–phenotype correlation in 11 Tunisian patients</w:t>
      </w:r>
      <w:r>
        <w:rPr>
          <w:rFonts w:ascii="Tw Cen MT" w:eastAsia="Tw Cen MT" w:hAnsi="Tw Cen MT" w:cs="Tw Cen MT"/>
          <w:b w:val="0"/>
          <w:bCs w:val="0"/>
          <w:sz w:val="18"/>
          <w:szCs w:val="18"/>
        </w:rPr>
        <w:t xml:space="preserve"> </w:t>
      </w:r>
      <w:r w:rsidRPr="00972FE4">
        <w:rPr>
          <w:rFonts w:ascii="Tw Cen MT" w:eastAsia="Tw Cen MT" w:hAnsi="Tw Cen MT" w:cs="Tw Cen MT"/>
          <w:b w:val="0"/>
          <w:bCs w:val="0"/>
          <w:sz w:val="18"/>
          <w:szCs w:val="18"/>
        </w:rPr>
        <w:t>was carried out. Overall, we identified 8 mutations in 5 genes. Thus, in patients with ARCI, we identified a novel</w:t>
      </w:r>
      <w:r>
        <w:rPr>
          <w:rFonts w:ascii="Tw Cen MT" w:eastAsia="Tw Cen MT" w:hAnsi="Tw Cen MT" w:cs="Tw Cen MT"/>
          <w:b w:val="0"/>
          <w:bCs w:val="0"/>
          <w:sz w:val="18"/>
          <w:szCs w:val="18"/>
        </w:rPr>
        <w:t xml:space="preserve"> </w:t>
      </w:r>
      <w:r w:rsidRPr="00972FE4">
        <w:rPr>
          <w:rFonts w:ascii="Tw Cen MT" w:eastAsia="Tw Cen MT" w:hAnsi="Tw Cen MT" w:cs="Tw Cen MT"/>
          <w:b w:val="0"/>
          <w:bCs w:val="0"/>
          <w:sz w:val="18"/>
          <w:szCs w:val="18"/>
        </w:rPr>
        <w:t xml:space="preserve">(c.118T &gt; C in </w:t>
      </w:r>
      <w:r w:rsidRPr="0074332B">
        <w:rPr>
          <w:rFonts w:ascii="Tw Cen MT" w:eastAsia="Tw Cen MT" w:hAnsi="Tw Cen MT" w:cs="Tw Cen MT"/>
          <w:b w:val="0"/>
          <w:bCs w:val="0"/>
          <w:i/>
          <w:iCs/>
          <w:sz w:val="18"/>
          <w:szCs w:val="18"/>
        </w:rPr>
        <w:t>NIPAL4</w:t>
      </w:r>
      <w:r w:rsidRPr="0074332B">
        <w:rPr>
          <w:rFonts w:ascii="Tw Cen MT" w:eastAsia="Tw Cen MT" w:hAnsi="Tw Cen MT" w:cs="Tw Cen MT"/>
          <w:b w:val="0"/>
          <w:bCs w:val="0"/>
          <w:sz w:val="18"/>
          <w:szCs w:val="18"/>
        </w:rPr>
        <w:t>)</w:t>
      </w:r>
      <w:r w:rsidRPr="00972FE4">
        <w:rPr>
          <w:rFonts w:ascii="Tw Cen MT" w:eastAsia="Tw Cen MT" w:hAnsi="Tw Cen MT" w:cs="Tw Cen MT"/>
          <w:b w:val="0"/>
          <w:bCs w:val="0"/>
          <w:sz w:val="18"/>
          <w:szCs w:val="18"/>
        </w:rPr>
        <w:t xml:space="preserve"> and 4 already reported mutations (c.534A &gt; C in </w:t>
      </w:r>
      <w:r w:rsidRPr="0074332B">
        <w:rPr>
          <w:rFonts w:ascii="Tw Cen MT" w:eastAsia="Tw Cen MT" w:hAnsi="Tw Cen MT" w:cs="Tw Cen MT"/>
          <w:b w:val="0"/>
          <w:bCs w:val="0"/>
          <w:i/>
          <w:iCs/>
          <w:sz w:val="18"/>
          <w:szCs w:val="18"/>
        </w:rPr>
        <w:t>NIPAL4</w:t>
      </w:r>
      <w:r w:rsidRPr="00972FE4">
        <w:rPr>
          <w:rFonts w:ascii="Tw Cen MT" w:eastAsia="Tw Cen MT" w:hAnsi="Tw Cen MT" w:cs="Tw Cen MT"/>
          <w:b w:val="0"/>
          <w:bCs w:val="0"/>
          <w:sz w:val="18"/>
          <w:szCs w:val="18"/>
        </w:rPr>
        <w:t xml:space="preserve">; c.788G &gt; A and c.1042C &gt; T in </w:t>
      </w:r>
      <w:r w:rsidRPr="0074332B">
        <w:rPr>
          <w:rFonts w:ascii="Tw Cen MT" w:eastAsia="Tw Cen MT" w:hAnsi="Tw Cen MT" w:cs="Tw Cen MT"/>
          <w:b w:val="0"/>
          <w:bCs w:val="0"/>
          <w:i/>
          <w:iCs/>
          <w:sz w:val="18"/>
          <w:szCs w:val="18"/>
        </w:rPr>
        <w:t>TGM1</w:t>
      </w:r>
      <w:r w:rsidRPr="00972FE4">
        <w:rPr>
          <w:rFonts w:ascii="Tw Cen MT" w:eastAsia="Tw Cen MT" w:hAnsi="Tw Cen MT" w:cs="Tw Cen MT"/>
          <w:b w:val="0"/>
          <w:bCs w:val="0"/>
          <w:sz w:val="18"/>
          <w:szCs w:val="18"/>
        </w:rPr>
        <w:t xml:space="preserve"> and</w:t>
      </w:r>
      <w:r>
        <w:rPr>
          <w:rFonts w:ascii="Tw Cen MT" w:eastAsia="Tw Cen MT" w:hAnsi="Tw Cen MT" w:cs="Tw Cen MT"/>
          <w:b w:val="0"/>
          <w:bCs w:val="0"/>
          <w:sz w:val="18"/>
          <w:szCs w:val="18"/>
        </w:rPr>
        <w:t xml:space="preserve"> </w:t>
      </w:r>
      <w:r w:rsidRPr="00972FE4">
        <w:rPr>
          <w:rFonts w:ascii="Tw Cen MT" w:eastAsia="Tw Cen MT" w:hAnsi="Tw Cen MT" w:cs="Tw Cen MT"/>
          <w:b w:val="0"/>
          <w:bCs w:val="0"/>
          <w:sz w:val="18"/>
          <w:szCs w:val="18"/>
        </w:rPr>
        <w:t xml:space="preserve">c.844C &gt; T in </w:t>
      </w:r>
      <w:r w:rsidRPr="0074332B">
        <w:rPr>
          <w:rFonts w:ascii="Tw Cen MT" w:eastAsia="Tw Cen MT" w:hAnsi="Tw Cen MT" w:cs="Tw Cen MT"/>
          <w:b w:val="0"/>
          <w:bCs w:val="0"/>
          <w:i/>
          <w:iCs/>
          <w:sz w:val="18"/>
          <w:szCs w:val="18"/>
        </w:rPr>
        <w:t>CYP4F22</w:t>
      </w:r>
      <w:r w:rsidRPr="00972FE4">
        <w:rPr>
          <w:rFonts w:ascii="Tw Cen MT" w:eastAsia="Tw Cen MT" w:hAnsi="Tw Cen MT" w:cs="Tw Cen MT"/>
          <w:b w:val="0"/>
          <w:bCs w:val="0"/>
          <w:sz w:val="18"/>
          <w:szCs w:val="18"/>
        </w:rPr>
        <w:t>). Yellowish severe keratoderma was found to be associated with NIPAL4 variations and brachydactyly</w:t>
      </w:r>
      <w:r>
        <w:rPr>
          <w:rFonts w:ascii="Tw Cen MT" w:eastAsia="Tw Cen MT" w:hAnsi="Tw Cen MT" w:cs="Tw Cen MT"/>
          <w:b w:val="0"/>
          <w:bCs w:val="0"/>
          <w:sz w:val="18"/>
          <w:szCs w:val="18"/>
        </w:rPr>
        <w:t xml:space="preserve"> </w:t>
      </w:r>
      <w:r w:rsidRPr="00972FE4">
        <w:rPr>
          <w:rFonts w:ascii="Tw Cen MT" w:eastAsia="Tw Cen MT" w:hAnsi="Tw Cen MT" w:cs="Tw Cen MT"/>
          <w:b w:val="0"/>
          <w:bCs w:val="0"/>
          <w:sz w:val="18"/>
          <w:szCs w:val="18"/>
        </w:rPr>
        <w:t xml:space="preserve">to TGM1 mutations. Two novel variations (c.5898G &gt; C and c.2855A&gt; G in </w:t>
      </w:r>
      <w:r w:rsidRPr="0074332B">
        <w:rPr>
          <w:rFonts w:ascii="Tw Cen MT" w:eastAsia="Tw Cen MT" w:hAnsi="Tw Cen MT" w:cs="Tw Cen MT"/>
          <w:b w:val="0"/>
          <w:bCs w:val="0"/>
          <w:i/>
          <w:iCs/>
          <w:sz w:val="18"/>
          <w:szCs w:val="18"/>
        </w:rPr>
        <w:t>ABCA12</w:t>
      </w:r>
      <w:r w:rsidRPr="00972FE4">
        <w:rPr>
          <w:rFonts w:ascii="Tw Cen MT" w:eastAsia="Tw Cen MT" w:hAnsi="Tw Cen MT" w:cs="Tw Cen MT"/>
          <w:b w:val="0"/>
          <w:bCs w:val="0"/>
          <w:sz w:val="18"/>
          <w:szCs w:val="18"/>
        </w:rPr>
        <w:t>) seemed to be features of</w:t>
      </w:r>
      <w:r>
        <w:rPr>
          <w:rFonts w:ascii="Tw Cen MT" w:eastAsia="Tw Cen MT" w:hAnsi="Tw Cen MT" w:cs="Tw Cen MT"/>
          <w:b w:val="0"/>
          <w:bCs w:val="0"/>
          <w:sz w:val="18"/>
          <w:szCs w:val="18"/>
        </w:rPr>
        <w:t xml:space="preserve"> </w:t>
      </w:r>
      <w:r w:rsidRPr="00972FE4">
        <w:rPr>
          <w:rFonts w:ascii="Tw Cen MT" w:eastAsia="Tw Cen MT" w:hAnsi="Tw Cen MT" w:cs="Tw Cen MT"/>
          <w:b w:val="0"/>
          <w:bCs w:val="0"/>
          <w:sz w:val="18"/>
          <w:szCs w:val="18"/>
        </w:rPr>
        <w:t xml:space="preserve">ILC. Delexon13 in </w:t>
      </w:r>
      <w:r w:rsidRPr="0074332B">
        <w:rPr>
          <w:rFonts w:ascii="Tw Cen MT" w:eastAsia="Tw Cen MT" w:hAnsi="Tw Cen MT" w:cs="Tw Cen MT"/>
          <w:b w:val="0"/>
          <w:bCs w:val="0"/>
          <w:i/>
          <w:iCs/>
          <w:sz w:val="18"/>
          <w:szCs w:val="18"/>
        </w:rPr>
        <w:t>CERS3</w:t>
      </w:r>
      <w:r w:rsidRPr="00972FE4">
        <w:rPr>
          <w:rFonts w:ascii="Tw Cen MT" w:eastAsia="Tw Cen MT" w:hAnsi="Tw Cen MT" w:cs="Tw Cen MT"/>
          <w:b w:val="0"/>
          <w:bCs w:val="0"/>
          <w:sz w:val="18"/>
          <w:szCs w:val="18"/>
        </w:rPr>
        <w:t xml:space="preserve"> was reported in a patient with syndromic ichthyosis.</w:t>
      </w:r>
    </w:p>
    <w:p w14:paraId="1EA06A48" w14:textId="77777777" w:rsidR="00972FE4" w:rsidRDefault="00972FE4" w:rsidP="00972FE4">
      <w:pPr>
        <w:pStyle w:val="Titre3"/>
        <w:spacing w:before="74"/>
        <w:jc w:val="both"/>
        <w:rPr>
          <w:rFonts w:ascii="Tw Cen MT" w:eastAsia="Tw Cen MT" w:hAnsi="Tw Cen MT" w:cs="Tw Cen MT"/>
          <w:b w:val="0"/>
          <w:bCs w:val="0"/>
          <w:sz w:val="18"/>
          <w:szCs w:val="18"/>
        </w:rPr>
      </w:pPr>
      <w:r w:rsidRPr="00972FE4">
        <w:rPr>
          <w:rFonts w:ascii="Tw Cen MT" w:eastAsia="Tw Cen MT" w:hAnsi="Tw Cen MT" w:cs="Tw Cen MT"/>
          <w:b w:val="0"/>
          <w:bCs w:val="0"/>
          <w:sz w:val="18"/>
          <w:szCs w:val="18"/>
        </w:rPr>
        <w:t>Conclusions: Our study further extends the spectrum of mutations involved in ichthyosis as well as clinical features</w:t>
      </w:r>
      <w:r>
        <w:rPr>
          <w:rFonts w:ascii="Tw Cen MT" w:eastAsia="Tw Cen MT" w:hAnsi="Tw Cen MT" w:cs="Tw Cen MT"/>
          <w:b w:val="0"/>
          <w:bCs w:val="0"/>
          <w:sz w:val="18"/>
          <w:szCs w:val="18"/>
        </w:rPr>
        <w:t xml:space="preserve"> </w:t>
      </w:r>
      <w:r w:rsidRPr="00972FE4">
        <w:rPr>
          <w:rFonts w:ascii="Tw Cen MT" w:eastAsia="Tw Cen MT" w:hAnsi="Tw Cen MT" w:cs="Tw Cen MT"/>
          <w:b w:val="0"/>
          <w:bCs w:val="0"/>
          <w:sz w:val="18"/>
          <w:szCs w:val="18"/>
        </w:rPr>
        <w:t>that could help directing genetic investigation.</w:t>
      </w:r>
    </w:p>
    <w:p w14:paraId="2DC2B3B8" w14:textId="408A8F18" w:rsidR="00AE3E37" w:rsidRPr="00972FE4" w:rsidRDefault="00A9710C" w:rsidP="00972FE4">
      <w:pPr>
        <w:pStyle w:val="Titre3"/>
        <w:spacing w:before="74"/>
        <w:jc w:val="both"/>
        <w:rPr>
          <w:rFonts w:ascii="Tw Cen MT" w:eastAsia="Tw Cen MT" w:hAnsi="Tw Cen MT" w:cs="Tw Cen MT"/>
          <w:b w:val="0"/>
          <w:bCs w:val="0"/>
          <w:sz w:val="18"/>
          <w:szCs w:val="18"/>
        </w:rPr>
      </w:pPr>
      <w:r>
        <w:rPr>
          <w:b w:val="0"/>
        </w:rPr>
        <w:br w:type="column"/>
      </w:r>
      <w:r>
        <w:rPr>
          <w:color w:val="BF5A14"/>
        </w:rPr>
        <w:t>Image</w:t>
      </w:r>
    </w:p>
    <w:p w14:paraId="21755890" w14:textId="006FF463" w:rsidR="00AE3E37" w:rsidRDefault="005B2A5D">
      <w:pPr>
        <w:pStyle w:val="Corpsdetexte"/>
        <w:spacing w:before="2"/>
        <w:rPr>
          <w:rFonts w:ascii="Arial"/>
          <w:b/>
          <w:sz w:val="16"/>
        </w:rPr>
      </w:pPr>
      <w:r>
        <w:rPr>
          <w:noProof/>
        </w:rPr>
        <w:drawing>
          <wp:inline distT="0" distB="0" distL="0" distR="0" wp14:anchorId="52FC9055" wp14:editId="3482291C">
            <wp:extent cx="3165475" cy="1402715"/>
            <wp:effectExtent l="0" t="0" r="0" b="6985"/>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165475" cy="1402715"/>
                    </a:xfrm>
                    <a:prstGeom prst="rect">
                      <a:avLst/>
                    </a:prstGeom>
                  </pic:spPr>
                </pic:pic>
              </a:graphicData>
            </a:graphic>
          </wp:inline>
        </w:drawing>
      </w:r>
    </w:p>
    <w:p w14:paraId="2DD34110" w14:textId="77777777" w:rsidR="005973B9" w:rsidRDefault="005973B9" w:rsidP="005973B9">
      <w:pPr>
        <w:spacing w:line="204" w:lineRule="exact"/>
        <w:rPr>
          <w:rFonts w:ascii="Arial"/>
          <w:b/>
          <w:sz w:val="20"/>
        </w:rPr>
      </w:pPr>
      <w:r>
        <w:rPr>
          <w:rFonts w:ascii="Arial"/>
          <w:b/>
          <w:color w:val="BF5A14"/>
          <w:sz w:val="20"/>
        </w:rPr>
        <w:br/>
        <w:t>Recent Publications (minimum 5)</w:t>
      </w:r>
    </w:p>
    <w:p w14:paraId="1C73D7DC" w14:textId="1E564EE8" w:rsidR="005973B9" w:rsidRPr="00ED7AA9" w:rsidRDefault="00ED7AA9" w:rsidP="00ED7AA9">
      <w:pPr>
        <w:pStyle w:val="Paragraphedeliste"/>
        <w:numPr>
          <w:ilvl w:val="0"/>
          <w:numId w:val="3"/>
        </w:numPr>
        <w:tabs>
          <w:tab w:val="left" w:pos="384"/>
        </w:tabs>
        <w:spacing w:before="103" w:line="216" w:lineRule="exact"/>
        <w:ind w:right="138"/>
        <w:rPr>
          <w:sz w:val="18"/>
        </w:rPr>
      </w:pPr>
      <w:r w:rsidRPr="00ED7AA9">
        <w:rPr>
          <w:sz w:val="18"/>
          <w:lang w:val="fr-FR"/>
        </w:rPr>
        <w:t xml:space="preserve">Ballin N, </w:t>
      </w:r>
      <w:proofErr w:type="spellStart"/>
      <w:r w:rsidRPr="00ED7AA9">
        <w:rPr>
          <w:sz w:val="18"/>
          <w:lang w:val="fr-FR"/>
        </w:rPr>
        <w:t>Hotz</w:t>
      </w:r>
      <w:proofErr w:type="spellEnd"/>
      <w:r w:rsidRPr="00ED7AA9">
        <w:rPr>
          <w:sz w:val="18"/>
          <w:lang w:val="fr-FR"/>
        </w:rPr>
        <w:t xml:space="preserve"> A, </w:t>
      </w:r>
      <w:proofErr w:type="spellStart"/>
      <w:r w:rsidRPr="00ED7AA9">
        <w:rPr>
          <w:sz w:val="18"/>
          <w:lang w:val="fr-FR"/>
        </w:rPr>
        <w:t>Bourrat</w:t>
      </w:r>
      <w:proofErr w:type="spellEnd"/>
      <w:r w:rsidRPr="00ED7AA9">
        <w:rPr>
          <w:sz w:val="18"/>
          <w:lang w:val="fr-FR"/>
        </w:rPr>
        <w:t xml:space="preserve"> E, </w:t>
      </w:r>
      <w:proofErr w:type="spellStart"/>
      <w:r w:rsidRPr="00ED7AA9">
        <w:rPr>
          <w:sz w:val="18"/>
          <w:lang w:val="fr-FR"/>
        </w:rPr>
        <w:t>Küsel</w:t>
      </w:r>
      <w:proofErr w:type="spellEnd"/>
      <w:r w:rsidRPr="00ED7AA9">
        <w:rPr>
          <w:sz w:val="18"/>
          <w:lang w:val="fr-FR"/>
        </w:rPr>
        <w:t xml:space="preserve"> J, </w:t>
      </w:r>
      <w:proofErr w:type="spellStart"/>
      <w:r w:rsidRPr="00ED7AA9">
        <w:rPr>
          <w:sz w:val="18"/>
          <w:lang w:val="fr-FR"/>
        </w:rPr>
        <w:t>Oji</w:t>
      </w:r>
      <w:proofErr w:type="spellEnd"/>
      <w:r w:rsidRPr="00ED7AA9">
        <w:rPr>
          <w:sz w:val="18"/>
          <w:lang w:val="fr-FR"/>
        </w:rPr>
        <w:t xml:space="preserve"> V, </w:t>
      </w:r>
      <w:proofErr w:type="spellStart"/>
      <w:r w:rsidRPr="00ED7AA9">
        <w:rPr>
          <w:sz w:val="18"/>
          <w:lang w:val="fr-FR"/>
        </w:rPr>
        <w:t>Bouadjar</w:t>
      </w:r>
      <w:proofErr w:type="spellEnd"/>
      <w:r w:rsidRPr="00ED7AA9">
        <w:rPr>
          <w:sz w:val="18"/>
          <w:lang w:val="fr-FR"/>
        </w:rPr>
        <w:t xml:space="preserve"> B, et al. </w:t>
      </w:r>
      <w:r w:rsidRPr="00ED7AA9">
        <w:rPr>
          <w:sz w:val="18"/>
        </w:rPr>
        <w:t>Genetical, clinical</w:t>
      </w:r>
      <w:r>
        <w:rPr>
          <w:sz w:val="18"/>
        </w:rPr>
        <w:t xml:space="preserve"> </w:t>
      </w:r>
      <w:r w:rsidRPr="00ED7AA9">
        <w:rPr>
          <w:sz w:val="18"/>
        </w:rPr>
        <w:t>and functional analysis of a large international cohort of patients with</w:t>
      </w:r>
      <w:r>
        <w:rPr>
          <w:sz w:val="18"/>
        </w:rPr>
        <w:t xml:space="preserve"> </w:t>
      </w:r>
      <w:r w:rsidRPr="00ED7AA9">
        <w:rPr>
          <w:sz w:val="18"/>
        </w:rPr>
        <w:t>autosomal recessive congenital ichthyosis due to mutations in NIPAL4.Hum Mutat. 2019.</w:t>
      </w:r>
      <w:r w:rsidR="005973B9" w:rsidRPr="00ED7AA9">
        <w:rPr>
          <w:sz w:val="18"/>
        </w:rPr>
        <w:t>.</w:t>
      </w:r>
    </w:p>
    <w:p w14:paraId="232CCC9E" w14:textId="5921A617" w:rsidR="005973B9" w:rsidRPr="00542372" w:rsidRDefault="00542372" w:rsidP="00542372">
      <w:pPr>
        <w:pStyle w:val="Paragraphedeliste"/>
        <w:numPr>
          <w:ilvl w:val="0"/>
          <w:numId w:val="3"/>
        </w:numPr>
        <w:tabs>
          <w:tab w:val="left" w:pos="384"/>
        </w:tabs>
        <w:spacing w:line="216" w:lineRule="exact"/>
        <w:ind w:right="137"/>
        <w:rPr>
          <w:sz w:val="18"/>
        </w:rPr>
      </w:pPr>
      <w:r w:rsidRPr="00542372">
        <w:rPr>
          <w:sz w:val="18"/>
        </w:rPr>
        <w:t>van Leersum FS, Seyger MMB, Theunissen TEJ, Bongers EMHF, Steijlen PM,</w:t>
      </w:r>
      <w:r>
        <w:rPr>
          <w:sz w:val="18"/>
        </w:rPr>
        <w:t xml:space="preserve"> </w:t>
      </w:r>
      <w:r w:rsidRPr="00542372">
        <w:rPr>
          <w:sz w:val="18"/>
        </w:rPr>
        <w:t>van Geel M. Recessive mosaicism in ABCA12 causes blaschkoid congenital</w:t>
      </w:r>
      <w:r>
        <w:rPr>
          <w:sz w:val="18"/>
        </w:rPr>
        <w:t xml:space="preserve"> </w:t>
      </w:r>
      <w:r w:rsidRPr="00542372">
        <w:rPr>
          <w:sz w:val="18"/>
        </w:rPr>
        <w:t xml:space="preserve">ichthyosiform erythroderma. Br J Dermatol. </w:t>
      </w:r>
      <w:proofErr w:type="gramStart"/>
      <w:r w:rsidRPr="00542372">
        <w:rPr>
          <w:sz w:val="18"/>
        </w:rPr>
        <w:t>2020;182:208</w:t>
      </w:r>
      <w:proofErr w:type="gramEnd"/>
      <w:r w:rsidRPr="00542372">
        <w:rPr>
          <w:sz w:val="18"/>
        </w:rPr>
        <w:t>–11.</w:t>
      </w:r>
      <w:r w:rsidR="005973B9" w:rsidRPr="00542372">
        <w:rPr>
          <w:sz w:val="18"/>
        </w:rPr>
        <w:t>.</w:t>
      </w:r>
    </w:p>
    <w:p w14:paraId="08B29DFF" w14:textId="5F2F6EFB" w:rsidR="005973B9" w:rsidRPr="00542372" w:rsidRDefault="00542372" w:rsidP="00542372">
      <w:pPr>
        <w:pStyle w:val="Paragraphedeliste"/>
        <w:numPr>
          <w:ilvl w:val="0"/>
          <w:numId w:val="3"/>
        </w:numPr>
        <w:tabs>
          <w:tab w:val="left" w:pos="384"/>
        </w:tabs>
        <w:spacing w:line="216" w:lineRule="exact"/>
        <w:ind w:right="138"/>
        <w:rPr>
          <w:sz w:val="18"/>
        </w:rPr>
      </w:pPr>
      <w:r w:rsidRPr="00542372">
        <w:rPr>
          <w:sz w:val="18"/>
        </w:rPr>
        <w:t>Autosomal recessive congenital ichthyoses in the Czech Republic. Br J</w:t>
      </w:r>
      <w:r>
        <w:rPr>
          <w:sz w:val="18"/>
        </w:rPr>
        <w:t xml:space="preserve"> </w:t>
      </w:r>
      <w:r w:rsidRPr="00542372">
        <w:rPr>
          <w:sz w:val="18"/>
        </w:rPr>
        <w:t xml:space="preserve">Dermatol. </w:t>
      </w:r>
      <w:proofErr w:type="gramStart"/>
      <w:r w:rsidRPr="00542372">
        <w:rPr>
          <w:sz w:val="18"/>
        </w:rPr>
        <w:t>2016;174:405</w:t>
      </w:r>
      <w:proofErr w:type="gramEnd"/>
      <w:r w:rsidRPr="00542372">
        <w:rPr>
          <w:sz w:val="18"/>
        </w:rPr>
        <w:t>–7.</w:t>
      </w:r>
      <w:r w:rsidR="005973B9" w:rsidRPr="00542372">
        <w:rPr>
          <w:sz w:val="18"/>
        </w:rPr>
        <w:t>.</w:t>
      </w:r>
    </w:p>
    <w:p w14:paraId="0428193B" w14:textId="77777777" w:rsidR="00542372" w:rsidRDefault="00542372" w:rsidP="00542372">
      <w:pPr>
        <w:pStyle w:val="Corpsdetexte"/>
        <w:numPr>
          <w:ilvl w:val="0"/>
          <w:numId w:val="3"/>
        </w:numPr>
        <w:spacing w:before="85" w:line="216" w:lineRule="exact"/>
        <w:ind w:right="138"/>
        <w:jc w:val="both"/>
        <w:rPr>
          <w:rFonts w:ascii="Calibri" w:eastAsia="Calibri" w:hAnsi="Calibri" w:cs="Calibri"/>
          <w:szCs w:val="22"/>
        </w:rPr>
      </w:pPr>
      <w:r w:rsidRPr="00542372">
        <w:rPr>
          <w:rFonts w:ascii="Calibri" w:eastAsia="Calibri" w:hAnsi="Calibri" w:cs="Calibri"/>
          <w:szCs w:val="22"/>
        </w:rPr>
        <w:t>Simpson JK, Martinez-Queipo M, Onoufriadis A, Tso S, Glass E, Liu L, et al.</w:t>
      </w:r>
      <w:r>
        <w:rPr>
          <w:rFonts w:ascii="Calibri" w:eastAsia="Calibri" w:hAnsi="Calibri" w:cs="Calibri"/>
          <w:szCs w:val="22"/>
        </w:rPr>
        <w:t xml:space="preserve"> </w:t>
      </w:r>
      <w:r w:rsidRPr="00542372">
        <w:rPr>
          <w:rFonts w:ascii="Calibri" w:eastAsia="Calibri" w:hAnsi="Calibri" w:cs="Calibri"/>
          <w:szCs w:val="22"/>
        </w:rPr>
        <w:t xml:space="preserve">Genotype-phenotype correlation in a large English cohort of patientswith autosomal recessive ichthyosis. Br J Dermatol. </w:t>
      </w:r>
      <w:proofErr w:type="gramStart"/>
      <w:r w:rsidRPr="00542372">
        <w:rPr>
          <w:rFonts w:ascii="Calibri" w:eastAsia="Calibri" w:hAnsi="Calibri" w:cs="Calibri"/>
          <w:szCs w:val="22"/>
        </w:rPr>
        <w:t>2020;182:729</w:t>
      </w:r>
      <w:proofErr w:type="gramEnd"/>
      <w:r w:rsidRPr="00542372">
        <w:rPr>
          <w:rFonts w:ascii="Calibri" w:eastAsia="Calibri" w:hAnsi="Calibri" w:cs="Calibri"/>
          <w:szCs w:val="22"/>
        </w:rPr>
        <w:t xml:space="preserve">–37 </w:t>
      </w:r>
    </w:p>
    <w:p w14:paraId="3F1D9507" w14:textId="47EB1E4A" w:rsidR="00AE3E37" w:rsidRPr="007E094A" w:rsidRDefault="00542372" w:rsidP="00AD3C94">
      <w:pPr>
        <w:pStyle w:val="Corpsdetexte"/>
        <w:numPr>
          <w:ilvl w:val="0"/>
          <w:numId w:val="3"/>
        </w:numPr>
        <w:tabs>
          <w:tab w:val="left" w:pos="384"/>
        </w:tabs>
        <w:spacing w:before="85" w:line="200" w:lineRule="exact"/>
        <w:ind w:right="117"/>
        <w:jc w:val="both"/>
        <w:rPr>
          <w:rFonts w:ascii="Calibri" w:hAnsi="Calibri"/>
        </w:rPr>
        <w:sectPr w:rsidR="00AE3E37" w:rsidRPr="007E094A">
          <w:type w:val="continuous"/>
          <w:pgSz w:w="11910" w:h="16840"/>
          <w:pgMar w:top="1740" w:right="600" w:bottom="840" w:left="620" w:header="720" w:footer="720" w:gutter="0"/>
          <w:cols w:num="2" w:space="720" w:equalWidth="0">
            <w:col w:w="5214" w:space="138"/>
            <w:col w:w="5338"/>
          </w:cols>
        </w:sectPr>
      </w:pPr>
      <w:r w:rsidRPr="007E094A">
        <w:rPr>
          <w:rFonts w:ascii="Calibri" w:hAnsi="Calibri"/>
        </w:rPr>
        <w:t xml:space="preserve">Louhichi N, Hadjsalem I, Marrakchi S, Trabelsi F, Masmoudi A, Turki H, et al. Congenital lamellar ichthyosis in Tunisia is caused by a founder nonsense mutation in the TGM1 gene. Mol Biol Rep. </w:t>
      </w:r>
      <w:proofErr w:type="gramStart"/>
      <w:r w:rsidRPr="007E094A">
        <w:rPr>
          <w:rFonts w:ascii="Calibri" w:hAnsi="Calibri"/>
        </w:rPr>
        <w:t>2013;40:2527</w:t>
      </w:r>
      <w:proofErr w:type="gramEnd"/>
      <w:r w:rsidRPr="007E094A">
        <w:rPr>
          <w:rFonts w:ascii="Calibri" w:hAnsi="Calibri"/>
        </w:rPr>
        <w:t>–32</w:t>
      </w:r>
      <w:r w:rsidR="005973B9" w:rsidRPr="007E094A">
        <w:rPr>
          <w:rFonts w:ascii="Calibri" w:hAnsi="Calibri"/>
        </w:rPr>
        <w:t>.</w:t>
      </w:r>
      <w:r w:rsidR="008756E6" w:rsidRPr="007E094A">
        <w:rPr>
          <w:rFonts w:ascii="Calibri" w:hAnsi="Calibri"/>
        </w:rPr>
        <w:t xml:space="preserve">   </w:t>
      </w:r>
    </w:p>
    <w:p w14:paraId="6CEAFE63" w14:textId="77777777" w:rsidR="00AE3E37" w:rsidRPr="00D62425" w:rsidRDefault="00D62425">
      <w:pPr>
        <w:pStyle w:val="Corpsdetexte"/>
        <w:rPr>
          <w:rFonts w:ascii="Calibri"/>
          <w:b/>
          <w:sz w:val="20"/>
        </w:rPr>
      </w:pPr>
      <w:r>
        <w:rPr>
          <w:rFonts w:ascii="Calibri"/>
          <w:sz w:val="20"/>
        </w:rPr>
        <w:t xml:space="preserve">                 </w:t>
      </w:r>
      <w:r w:rsidRPr="00D62425">
        <w:rPr>
          <w:rFonts w:ascii="Calibri"/>
          <w:b/>
          <w:sz w:val="20"/>
        </w:rPr>
        <w:t>Photograph</w:t>
      </w:r>
    </w:p>
    <w:p w14:paraId="0E2E1BCC" w14:textId="77777777" w:rsidR="00AE3E37" w:rsidRDefault="00292ED9">
      <w:pPr>
        <w:pStyle w:val="Corpsdetexte"/>
        <w:spacing w:line="40" w:lineRule="exact"/>
        <w:ind w:left="2202"/>
        <w:rPr>
          <w:rFonts w:ascii="Calibri"/>
          <w:sz w:val="4"/>
        </w:rPr>
      </w:pPr>
      <w:r>
        <w:rPr>
          <w:rFonts w:ascii="Calibri"/>
          <w:noProof/>
          <w:sz w:val="4"/>
          <w:lang w:val="en-IN" w:eastAsia="en-IN"/>
        </w:rPr>
        <mc:AlternateContent>
          <mc:Choice Requires="wpg">
            <w:drawing>
              <wp:inline distT="0" distB="0" distL="0" distR="0" wp14:anchorId="68F0015D" wp14:editId="5A7129EB">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2BA88C4"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19ED1018" w14:textId="49F433B6" w:rsidR="00AE3E37" w:rsidRDefault="009517ED" w:rsidP="009517ED">
      <w:pPr>
        <w:spacing w:before="92"/>
        <w:ind w:left="720" w:right="4234" w:hanging="720"/>
        <w:rPr>
          <w:rFonts w:ascii="Arial"/>
        </w:rPr>
      </w:pPr>
      <w:r>
        <w:rPr>
          <w:noProof/>
          <w:lang w:val="en-IN" w:eastAsia="en-IN"/>
        </w:rPr>
        <w:t xml:space="preserve">                   </w:t>
      </w:r>
      <w:r>
        <w:rPr>
          <w:noProof/>
        </w:rPr>
        <w:drawing>
          <wp:inline distT="0" distB="0" distL="0" distR="0" wp14:anchorId="7C7D0374" wp14:editId="49B9A298">
            <wp:extent cx="628650" cy="85725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t="7217"/>
                    <a:stretch/>
                  </pic:blipFill>
                  <pic:spPr bwMode="auto">
                    <a:xfrm>
                      <a:off x="0" y="0"/>
                      <a:ext cx="628650" cy="857250"/>
                    </a:xfrm>
                    <a:prstGeom prst="rect">
                      <a:avLst/>
                    </a:prstGeom>
                    <a:ln>
                      <a:noFill/>
                    </a:ln>
                    <a:extLst>
                      <a:ext uri="{53640926-AAD7-44D8-BBD7-CCE9431645EC}">
                        <a14:shadowObscured xmlns:a14="http://schemas.microsoft.com/office/drawing/2010/main"/>
                      </a:ext>
                    </a:extLst>
                  </pic:spPr>
                </pic:pic>
              </a:graphicData>
            </a:graphic>
          </wp:inline>
        </w:drawing>
      </w:r>
      <w:r>
        <w:rPr>
          <w:noProof/>
          <w:lang w:val="en-IN" w:eastAsia="en-IN"/>
        </w:rPr>
        <w:t xml:space="preserve"> </w:t>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14:paraId="368F17ED" w14:textId="6A24431A" w:rsidR="00AE3E37" w:rsidRDefault="007510D2">
      <w:pPr>
        <w:spacing w:before="41" w:line="154" w:lineRule="exact"/>
        <w:ind w:left="213" w:right="231"/>
        <w:jc w:val="both"/>
        <w:rPr>
          <w:rFonts w:ascii="Arial"/>
          <w:sz w:val="14"/>
        </w:rPr>
      </w:pPr>
      <w:r w:rsidRPr="007510D2">
        <w:rPr>
          <w:rFonts w:ascii="Arial"/>
          <w:sz w:val="14"/>
        </w:rPr>
        <w:t>Mariem Ennouri, PhD in biologic sciences at University of Sfax Tunisia. Her research was focused in Human Genetics and Genetic disorders of Dermatology. Her first goal w</w:t>
      </w:r>
      <w:r>
        <w:rPr>
          <w:rFonts w:ascii="Arial"/>
          <w:sz w:val="14"/>
        </w:rPr>
        <w:t>as</w:t>
      </w:r>
      <w:r w:rsidRPr="007510D2">
        <w:rPr>
          <w:rFonts w:ascii="Arial"/>
          <w:sz w:val="14"/>
        </w:rPr>
        <w:t xml:space="preserve"> to identify the genetic mutations responsible for a rare disease such Psoriasis and Ichthyosis, to improve the health and the wellbeing for Humanity. She has published four articles after years of experience in research. She collaborates with national and international laboratories like National Institute of Health and Medical Research "INSERM" (Paris-France) and Human Genetic (Freiburg-Germany)</w:t>
      </w:r>
      <w:r w:rsidR="00A9710C">
        <w:rPr>
          <w:rFonts w:ascii="Arial"/>
          <w:sz w:val="14"/>
        </w:rPr>
        <w:t>.</w:t>
      </w:r>
    </w:p>
    <w:p w14:paraId="2A95A336" w14:textId="27925669" w:rsidR="00AE3E37" w:rsidRDefault="00A9710C">
      <w:pPr>
        <w:spacing w:before="62"/>
        <w:ind w:left="4217" w:right="4235"/>
        <w:jc w:val="center"/>
        <w:rPr>
          <w:rFonts w:ascii="Arial"/>
          <w:sz w:val="14"/>
        </w:rPr>
      </w:pPr>
      <w:r>
        <w:rPr>
          <w:rFonts w:ascii="Arial"/>
          <w:sz w:val="14"/>
        </w:rPr>
        <w:t xml:space="preserve">Email: </w:t>
      </w:r>
      <w:hyperlink r:id="rId11" w:history="1">
        <w:r w:rsidR="007E094A" w:rsidRPr="006245EB">
          <w:rPr>
            <w:rStyle w:val="Lienhypertexte"/>
            <w:rFonts w:ascii="Arial"/>
            <w:sz w:val="14"/>
          </w:rPr>
          <w:t>mariamnouri1992@gmail.com</w:t>
        </w:r>
      </w:hyperlink>
    </w:p>
    <w:p w14:paraId="49A3065D" w14:textId="77777777" w:rsidR="00AE3E37" w:rsidRDefault="00292ED9">
      <w:pPr>
        <w:pStyle w:val="Corpsdetexte"/>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678DC5A5" wp14:editId="44E43B8F">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06E98D"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0E37FD06" w14:textId="77777777" w:rsidR="00AE3E37" w:rsidRDefault="00AE3E37">
      <w:pPr>
        <w:pStyle w:val="Corpsdetexte"/>
        <w:rPr>
          <w:rFonts w:ascii="Arial"/>
          <w:sz w:val="20"/>
        </w:rPr>
      </w:pPr>
    </w:p>
    <w:p w14:paraId="61E36AE4" w14:textId="1EAD0958" w:rsidR="00AE3E37" w:rsidRPr="007E094A" w:rsidRDefault="00A9710C" w:rsidP="009517ED">
      <w:pPr>
        <w:spacing w:before="39"/>
        <w:rPr>
          <w:rFonts w:ascii="Minion Pro"/>
          <w:b/>
          <w:sz w:val="20"/>
        </w:rPr>
        <w:sectPr w:rsidR="00AE3E37" w:rsidRPr="007E094A">
          <w:type w:val="continuous"/>
          <w:pgSz w:w="11910" w:h="16840"/>
          <w:pgMar w:top="1740" w:right="600" w:bottom="840" w:left="620" w:header="720" w:footer="720" w:gutter="0"/>
          <w:cols w:space="720"/>
        </w:sectPr>
      </w:pPr>
      <w:r w:rsidRPr="00B21A57">
        <w:rPr>
          <w:rFonts w:ascii="Minion Pro"/>
          <w:b/>
          <w:sz w:val="20"/>
        </w:rPr>
        <w:t>Notes/Comment</w:t>
      </w:r>
    </w:p>
    <w:p w14:paraId="6C888564" w14:textId="77777777" w:rsidR="00AE3E37" w:rsidRDefault="00AE3E37" w:rsidP="007E094A">
      <w:pPr>
        <w:pStyle w:val="Corpsdetex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E8EEF8" w14:textId="77777777" w:rsidR="00954302" w:rsidRDefault="00954302">
      <w:r>
        <w:separator/>
      </w:r>
    </w:p>
  </w:endnote>
  <w:endnote w:type="continuationSeparator" w:id="0">
    <w:p w14:paraId="5B63E322" w14:textId="77777777" w:rsidR="00954302" w:rsidRDefault="009543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40503050306020203"/>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Pro-Regular">
    <w:panose1 w:val="00000000000000000000"/>
    <w:charset w:val="A1"/>
    <w:family w:val="swiss"/>
    <w:notTrueType/>
    <w:pitch w:val="default"/>
    <w:sig w:usb0="00000081" w:usb1="00000000" w:usb2="00000000" w:usb3="00000000" w:csb0="00000008" w:csb1="00000000"/>
  </w:font>
  <w:font w:name="Myriad Pro">
    <w:altName w:val="Corbel"/>
    <w:panose1 w:val="020B0503030403020204"/>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683FE2" w14:textId="77777777" w:rsidR="00AE3E37" w:rsidRDefault="00292ED9">
    <w:pPr>
      <w:pStyle w:val="Corpsdetexte"/>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2B208C4B" wp14:editId="1AB2DDBC">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C18A44"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5E21D1C"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208C4B"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" filled="f" stroked="f">
              <v:textbox inset="0,0,0,0">
                <w:txbxContent>
                  <w:p w14:paraId="12C18A44"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5E21D1C"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5AF12985" wp14:editId="70D2C44E">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57EF89"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98D289E"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F12985"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" filled="f" stroked="f">
              <v:textbox inset="0,0,0,0">
                <w:txbxContent>
                  <w:p w14:paraId="4557EF89"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98D289E"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60C1E13D" wp14:editId="08EAD993">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EBD8DA"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3EB0235"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C1E13D"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XQLQrNoBAACYAwAADgAAAAAAAAAAAAAAAAAuAgAAZHJzL2Uyb0RvYy54bWxQSwECLQAUAAYA&#10;CAAAACEA4y1yTuIAAAAOAQAADwAAAAAAAAAAAAAAAAA0BAAAZHJzL2Rvd25yZXYueG1sUEsFBgAA&#10;AAAEAAQA8wAAAEMFAAAAAA==&#10;" filled="f" stroked="f">
              <v:textbox inset="0,0,0,0">
                <w:txbxContent>
                  <w:p w14:paraId="45EBD8DA"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3EB0235"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55F876" w14:textId="77777777" w:rsidR="00954302" w:rsidRDefault="00954302">
      <w:r>
        <w:separator/>
      </w:r>
    </w:p>
  </w:footnote>
  <w:footnote w:type="continuationSeparator" w:id="0">
    <w:p w14:paraId="35B6698A" w14:textId="77777777" w:rsidR="00954302" w:rsidRDefault="009543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981748" w14:textId="77777777" w:rsidR="00AE3E37" w:rsidRDefault="00292ED9">
    <w:pPr>
      <w:pStyle w:val="Corpsdetexte"/>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213C1B5A" wp14:editId="19F21E7E">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A98BE8" w14:textId="77777777" w:rsidR="00AE3E37" w:rsidRPr="00972FE4" w:rsidRDefault="00A9710C">
                          <w:pPr>
                            <w:spacing w:before="2" w:line="249" w:lineRule="auto"/>
                            <w:ind w:left="156" w:right="18" w:hanging="137"/>
                            <w:rPr>
                              <w:rFonts w:ascii="Arial"/>
                              <w:color w:val="FFFFFF" w:themeColor="background1"/>
                              <w:sz w:val="14"/>
                              <w:lang w:val="fr-FR"/>
                            </w:rPr>
                          </w:pPr>
                          <w:r w:rsidRPr="00972FE4">
                            <w:rPr>
                              <w:rFonts w:ascii="Arial"/>
                              <w:color w:val="FFFFFF" w:themeColor="background1"/>
                              <w:sz w:val="14"/>
                              <w:lang w:val="fr-FR"/>
                            </w:rPr>
                            <w:t xml:space="preserve">T Furuta et al., J Pai n Relief 2016, </w:t>
                          </w:r>
                          <w:proofErr w:type="gramStart"/>
                          <w:r w:rsidRPr="00972FE4">
                            <w:rPr>
                              <w:rFonts w:ascii="Arial"/>
                              <w:color w:val="FFFFFF" w:themeColor="background1"/>
                              <w:sz w:val="14"/>
                              <w:lang w:val="fr-FR"/>
                            </w:rPr>
                            <w:t>5:</w:t>
                          </w:r>
                          <w:proofErr w:type="gramEnd"/>
                          <w:r w:rsidRPr="00972FE4">
                            <w:rPr>
                              <w:rFonts w:ascii="Arial"/>
                              <w:color w:val="FFFFFF" w:themeColor="background1"/>
                              <w:sz w:val="14"/>
                              <w:lang w:val="fr-FR"/>
                            </w:rPr>
                            <w:t>3(</w:t>
                          </w:r>
                          <w:proofErr w:type="spellStart"/>
                          <w:r w:rsidRPr="00972FE4">
                            <w:rPr>
                              <w:rFonts w:ascii="Arial"/>
                              <w:color w:val="FFFFFF" w:themeColor="background1"/>
                              <w:sz w:val="14"/>
                              <w:lang w:val="fr-FR"/>
                            </w:rPr>
                            <w:t>Suppl</w:t>
                          </w:r>
                          <w:proofErr w:type="spellEnd"/>
                          <w:r w:rsidRPr="00972FE4">
                            <w:rPr>
                              <w:rFonts w:ascii="Arial"/>
                              <w:color w:val="FFFFFF" w:themeColor="background1"/>
                              <w:sz w:val="14"/>
                              <w:lang w:val="fr-FR"/>
                            </w:rPr>
                            <w:t xml:space="preserve">) </w:t>
                          </w:r>
                          <w:hyperlink r:id="rId1">
                            <w:r w:rsidRPr="00972FE4">
                              <w:rPr>
                                <w:rFonts w:ascii="Arial"/>
                                <w:color w:val="FFFFFF" w:themeColor="background1"/>
                                <w:sz w:val="14"/>
                                <w:lang w:val="fr-FR"/>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3C1B5A"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" filled="f" stroked="f">
              <v:textbox inset="0,0,0,0">
                <w:txbxContent>
                  <w:p w14:paraId="34A98BE8" w14:textId="77777777" w:rsidR="00AE3E37" w:rsidRPr="00972FE4" w:rsidRDefault="00A9710C">
                    <w:pPr>
                      <w:spacing w:before="2" w:line="249" w:lineRule="auto"/>
                      <w:ind w:left="156" w:right="18" w:hanging="137"/>
                      <w:rPr>
                        <w:rFonts w:ascii="Arial"/>
                        <w:color w:val="FFFFFF" w:themeColor="background1"/>
                        <w:sz w:val="14"/>
                        <w:lang w:val="fr-FR"/>
                      </w:rPr>
                    </w:pPr>
                    <w:r w:rsidRPr="00972FE4">
                      <w:rPr>
                        <w:rFonts w:ascii="Arial"/>
                        <w:color w:val="FFFFFF" w:themeColor="background1"/>
                        <w:sz w:val="14"/>
                        <w:lang w:val="fr-FR"/>
                      </w:rPr>
                      <w:t xml:space="preserve">T Furuta et al., J Pai n Relief 2016, </w:t>
                    </w:r>
                    <w:proofErr w:type="gramStart"/>
                    <w:r w:rsidRPr="00972FE4">
                      <w:rPr>
                        <w:rFonts w:ascii="Arial"/>
                        <w:color w:val="FFFFFF" w:themeColor="background1"/>
                        <w:sz w:val="14"/>
                        <w:lang w:val="fr-FR"/>
                      </w:rPr>
                      <w:t>5:</w:t>
                    </w:r>
                    <w:proofErr w:type="gramEnd"/>
                    <w:r w:rsidRPr="00972FE4">
                      <w:rPr>
                        <w:rFonts w:ascii="Arial"/>
                        <w:color w:val="FFFFFF" w:themeColor="background1"/>
                        <w:sz w:val="14"/>
                        <w:lang w:val="fr-FR"/>
                      </w:rPr>
                      <w:t>3(</w:t>
                    </w:r>
                    <w:proofErr w:type="spellStart"/>
                    <w:r w:rsidRPr="00972FE4">
                      <w:rPr>
                        <w:rFonts w:ascii="Arial"/>
                        <w:color w:val="FFFFFF" w:themeColor="background1"/>
                        <w:sz w:val="14"/>
                        <w:lang w:val="fr-FR"/>
                      </w:rPr>
                      <w:t>Suppl</w:t>
                    </w:r>
                    <w:proofErr w:type="spellEnd"/>
                    <w:r w:rsidRPr="00972FE4">
                      <w:rPr>
                        <w:rFonts w:ascii="Arial"/>
                        <w:color w:val="FFFFFF" w:themeColor="background1"/>
                        <w:sz w:val="14"/>
                        <w:lang w:val="fr-FR"/>
                      </w:rPr>
                      <w:t xml:space="preserve">) </w:t>
                    </w:r>
                    <w:hyperlink r:id="rId2">
                      <w:r w:rsidRPr="00972FE4">
                        <w:rPr>
                          <w:rFonts w:ascii="Arial"/>
                          <w:color w:val="FFFFFF" w:themeColor="background1"/>
                          <w:sz w:val="14"/>
                          <w:lang w:val="fr-FR"/>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78889698" wp14:editId="2B0648B8">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7AB554" w14:textId="77777777"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98B383F"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889698"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" filled="f" stroked="f">
              <v:textbox inset="0,0,0,0">
                <w:txbxContent>
                  <w:p w14:paraId="477AB554" w14:textId="77777777"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98B383F"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179903432">
    <w:abstractNumId w:val="0"/>
  </w:num>
  <w:num w:numId="2" w16cid:durableId="1404765278">
    <w:abstractNumId w:val="1"/>
  </w:num>
  <w:num w:numId="3" w16cid:durableId="1212227489">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C3501"/>
    <w:rsid w:val="000E2911"/>
    <w:rsid w:val="001263DF"/>
    <w:rsid w:val="001E763C"/>
    <w:rsid w:val="00292ED9"/>
    <w:rsid w:val="00314AFB"/>
    <w:rsid w:val="003B76D9"/>
    <w:rsid w:val="00404E5B"/>
    <w:rsid w:val="00414F7B"/>
    <w:rsid w:val="004355DC"/>
    <w:rsid w:val="004749B4"/>
    <w:rsid w:val="00494130"/>
    <w:rsid w:val="004C7091"/>
    <w:rsid w:val="004F3523"/>
    <w:rsid w:val="00542372"/>
    <w:rsid w:val="005973B9"/>
    <w:rsid w:val="005B2A5D"/>
    <w:rsid w:val="005B3A56"/>
    <w:rsid w:val="006060CE"/>
    <w:rsid w:val="0063497F"/>
    <w:rsid w:val="0074332B"/>
    <w:rsid w:val="007510D2"/>
    <w:rsid w:val="00754898"/>
    <w:rsid w:val="0078738A"/>
    <w:rsid w:val="007E094A"/>
    <w:rsid w:val="007E09E4"/>
    <w:rsid w:val="007F3300"/>
    <w:rsid w:val="0081761B"/>
    <w:rsid w:val="00873DF0"/>
    <w:rsid w:val="008756E6"/>
    <w:rsid w:val="009517ED"/>
    <w:rsid w:val="00954302"/>
    <w:rsid w:val="009674E7"/>
    <w:rsid w:val="00972FE4"/>
    <w:rsid w:val="009B2D44"/>
    <w:rsid w:val="009E3570"/>
    <w:rsid w:val="00A07E82"/>
    <w:rsid w:val="00A17CD0"/>
    <w:rsid w:val="00A9710C"/>
    <w:rsid w:val="00AB723A"/>
    <w:rsid w:val="00AE3E37"/>
    <w:rsid w:val="00AF0E9C"/>
    <w:rsid w:val="00B21A57"/>
    <w:rsid w:val="00BB768C"/>
    <w:rsid w:val="00C33602"/>
    <w:rsid w:val="00CD6F55"/>
    <w:rsid w:val="00CF7591"/>
    <w:rsid w:val="00D13225"/>
    <w:rsid w:val="00D62425"/>
    <w:rsid w:val="00DE3104"/>
    <w:rsid w:val="00E46D00"/>
    <w:rsid w:val="00ED7AA9"/>
    <w:rsid w:val="00F079B5"/>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F58E82"/>
  <w15:docId w15:val="{A3309B49-B744-4467-BD7F-AA10328C3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 w:type="character" w:styleId="Mentionnonrsolue">
    <w:name w:val="Unresolved Mention"/>
    <w:basedOn w:val="Policepardfaut"/>
    <w:uiPriority w:val="99"/>
    <w:semiHidden/>
    <w:unhideWhenUsed/>
    <w:rsid w:val="007E09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ariamnouri1992@gmail.com" TargetMode="Externa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1</Pages>
  <Words>624</Words>
  <Characters>3435</Characters>
  <Application>Microsoft Office Word</Application>
  <DocSecurity>0</DocSecurity>
  <Lines>28</Lines>
  <Paragraphs>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missaoui leila</cp:lastModifiedBy>
  <cp:revision>4</cp:revision>
  <dcterms:created xsi:type="dcterms:W3CDTF">2022-06-07T15:31:00Z</dcterms:created>
  <dcterms:modified xsi:type="dcterms:W3CDTF">2022-06-08T20:47:00Z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