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7606DC" w:rsidP="00494130">
      <w:pPr>
        <w:pStyle w:val="Heading1"/>
        <w:spacing w:before="170"/>
        <w:ind w:left="0"/>
      </w:pPr>
      <w:r>
        <w:rPr>
          <w:color w:val="337AB7"/>
        </w:rPr>
        <w:t>Increased the heterozygous carriers of angiotensinogen M235T polymorphism and its association with increased plasma angioteninogen level in essential hypertension in Myanmar</w:t>
      </w:r>
    </w:p>
    <w:p w:rsidR="007606DC" w:rsidRDefault="007606DC" w:rsidP="00494130">
      <w:pPr>
        <w:pStyle w:val="Heading1"/>
        <w:spacing w:before="170"/>
        <w:ind w:left="0"/>
      </w:pPr>
    </w:p>
    <w:p w:rsidR="007606DC" w:rsidRDefault="007606DC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 xml:space="preserve">Khin Sandar Oo, Khin Win Sein, </w:t>
      </w:r>
      <w:r w:rsidR="00F07784">
        <w:rPr>
          <w:rFonts w:ascii="Arial"/>
          <w:sz w:val="20"/>
        </w:rPr>
        <w:t>Alexander M Swan</w:t>
      </w:r>
      <w:r w:rsidR="001159CA">
        <w:rPr>
          <w:rFonts w:ascii="Arial"/>
          <w:sz w:val="20"/>
        </w:rPr>
        <w:t>,</w:t>
      </w:r>
      <w:r>
        <w:rPr>
          <w:rFonts w:ascii="Arial"/>
          <w:sz w:val="20"/>
        </w:rPr>
        <w:t xml:space="preserve"> Aung Kyaw Khant, Han Naung Tun</w:t>
      </w:r>
    </w:p>
    <w:p w:rsidR="007606DC" w:rsidRDefault="007606DC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>Department of Biochemistry, University of Medicine, Mandalay</w:t>
      </w:r>
    </w:p>
    <w:p w:rsidR="007606DC" w:rsidRDefault="007606DC">
      <w:pPr>
        <w:pStyle w:val="BodyText"/>
        <w:rPr>
          <w:rFonts w:ascii="Arial"/>
          <w:sz w:val="20"/>
        </w:rPr>
      </w:pPr>
      <w:r>
        <w:rPr>
          <w:rFonts w:ascii="Arial"/>
          <w:sz w:val="20"/>
        </w:rPr>
        <w:t xml:space="preserve">Department of </w:t>
      </w:r>
      <w:r w:rsidR="0093425E">
        <w:rPr>
          <w:rFonts w:ascii="Arial"/>
          <w:sz w:val="20"/>
        </w:rPr>
        <w:t>Medicine, Rutgers New Jersey Medical School, US</w:t>
      </w:r>
      <w:r w:rsidR="00B94DF6">
        <w:rPr>
          <w:rFonts w:ascii="Arial"/>
          <w:sz w:val="20"/>
        </w:rPr>
        <w:t>A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74B11" w:rsidRDefault="00474B11" w:rsidP="00474B11">
      <w:pPr>
        <w:pStyle w:val="BodyText"/>
        <w:spacing w:before="90" w:line="281" w:lineRule="auto"/>
        <w:ind w:left="101"/>
        <w:jc w:val="both"/>
      </w:pPr>
      <w:r>
        <w:rPr>
          <w:rFonts w:cs="Arial"/>
          <w:color w:val="000000"/>
          <w:shd w:val="clear" w:color="auto" w:fill="FFFFFF"/>
        </w:rPr>
        <w:t>Introduction: This case control</w:t>
      </w:r>
      <w:r w:rsidRPr="00474B11">
        <w:rPr>
          <w:rFonts w:cs="Arial"/>
          <w:color w:val="000000"/>
          <w:shd w:val="clear" w:color="auto" w:fill="FFFFFF"/>
        </w:rPr>
        <w:t xml:space="preserve"> study is such an effort to determine whether or not this AGT polymorphism of this gene is presenting at here, Myanmar</w:t>
      </w:r>
      <w:r w:rsidR="00A9710C">
        <w:t xml:space="preserve"> understand</w:t>
      </w:r>
      <w:r w:rsidR="00FC5555">
        <w:t>s</w:t>
      </w:r>
      <w:r w:rsidR="00A9710C">
        <w:t xml:space="preserve"> this relationships and </w:t>
      </w:r>
      <w:r>
        <w:t>the context in which it occurs.</w:t>
      </w:r>
    </w:p>
    <w:p w:rsidR="00446C0F" w:rsidRDefault="00474B11" w:rsidP="00446C0F">
      <w:pPr>
        <w:pStyle w:val="BodyText"/>
        <w:spacing w:before="90" w:line="281" w:lineRule="auto"/>
        <w:ind w:left="101"/>
        <w:jc w:val="both"/>
      </w:pPr>
      <w:r>
        <w:t>Method:</w:t>
      </w:r>
      <w:r w:rsidR="00AF74F5">
        <w:t xml:space="preserve"> T</w:t>
      </w:r>
      <w:r w:rsidRPr="00474B11">
        <w:t>here were 144 subjects, 72 hypertensive</w:t>
      </w:r>
      <w:r w:rsidR="00F07784">
        <w:t>s and</w:t>
      </w:r>
      <w:r w:rsidRPr="00474B11">
        <w:t xml:space="preserve"> 72 </w:t>
      </w:r>
      <w:r w:rsidR="00F07784">
        <w:t>normotensives</w:t>
      </w:r>
      <w:r w:rsidRPr="00474B11">
        <w:t>. After getting inform</w:t>
      </w:r>
      <w:r w:rsidR="00FC5555">
        <w:t>ed</w:t>
      </w:r>
      <w:r w:rsidRPr="00474B11">
        <w:t xml:space="preserve"> consents, determination of blood pressure and BMI were done. The </w:t>
      </w:r>
      <w:r w:rsidRPr="00F07784">
        <w:t>AGT</w:t>
      </w:r>
      <w:r w:rsidRPr="00474B11">
        <w:t xml:space="preserve"> M235T genotypes were determined by polymerase chain reaction followed by digestion of the products with </w:t>
      </w:r>
      <w:r w:rsidRPr="00474B11">
        <w:rPr>
          <w:i/>
        </w:rPr>
        <w:t>Tth111</w:t>
      </w:r>
      <w:r w:rsidRPr="00474B11">
        <w:t>I. The determination of plasma angiotensinogen level was done by ELISA method.</w:t>
      </w:r>
      <w:r w:rsidR="00446C0F">
        <w:t xml:space="preserve"> </w:t>
      </w:r>
    </w:p>
    <w:p w:rsidR="00446C0F" w:rsidRPr="00446C0F" w:rsidRDefault="00446C0F" w:rsidP="00446C0F">
      <w:pPr>
        <w:pStyle w:val="BodyText"/>
        <w:spacing w:before="90" w:line="281" w:lineRule="auto"/>
        <w:ind w:left="101"/>
        <w:jc w:val="both"/>
      </w:pPr>
      <w:r>
        <w:t xml:space="preserve">Results: </w:t>
      </w:r>
      <w:r w:rsidRPr="00446C0F">
        <w:t>In a t</w:t>
      </w:r>
      <w:r w:rsidR="00AF74F5">
        <w:t>otal of 72 hypertensives</w:t>
      </w:r>
      <w:r w:rsidRPr="00446C0F">
        <w:t xml:space="preserve">, the frequency of the homozygous (TT) genotype, the heterozygous (MT) genotype and the homozygous (MM) genotype for </w:t>
      </w:r>
      <w:r w:rsidRPr="00F07784">
        <w:t>AGT</w:t>
      </w:r>
      <w:r w:rsidR="00F07784">
        <w:t xml:space="preserve"> </w:t>
      </w:r>
      <w:r w:rsidRPr="00446C0F">
        <w:t>M235T were (34.72%), (62.50%) and (2.78%).  In a total of 72 no</w:t>
      </w:r>
      <w:r w:rsidR="00AF74F5">
        <w:t>rmotensives</w:t>
      </w:r>
      <w:r w:rsidRPr="00446C0F">
        <w:t xml:space="preserve">, the frequency of the homozygous (TT) genotype, the heterozygous (MT) genotype and the homozygous (MM) genotype for </w:t>
      </w:r>
      <w:r w:rsidRPr="00446C0F">
        <w:rPr>
          <w:i/>
        </w:rPr>
        <w:t xml:space="preserve">AGT </w:t>
      </w:r>
      <w:r w:rsidRPr="00446C0F">
        <w:t>M235T were (9.72%), (66.67%) and (23.61%) respectively. Homozygous (TT) genotype was significant</w:t>
      </w:r>
      <w:r w:rsidR="00FC5555">
        <w:t>ly</w:t>
      </w:r>
      <w:r w:rsidRPr="00446C0F">
        <w:t xml:space="preserve"> associated between </w:t>
      </w:r>
      <w:r w:rsidRPr="00F07784">
        <w:t>AGT</w:t>
      </w:r>
      <w:r w:rsidRPr="00446C0F">
        <w:t xml:space="preserve"> M235T polymorphism and essential hypertension </w:t>
      </w:r>
      <w:r w:rsidRPr="00446C0F">
        <w:rPr>
          <w:rFonts w:ascii="Arial" w:hAnsi="Arial" w:cs="Arial"/>
        </w:rPr>
        <w:t>χ</w:t>
      </w:r>
      <w:r w:rsidRPr="00446C0F">
        <w:t xml:space="preserve">2 =13.01 and </w:t>
      </w:r>
      <w:r w:rsidRPr="00446C0F">
        <w:rPr>
          <w:rFonts w:ascii="Arial" w:hAnsi="Arial" w:cs="Arial"/>
        </w:rPr>
        <w:t>ρ</w:t>
      </w:r>
      <w:r w:rsidRPr="00446C0F">
        <w:t xml:space="preserve"> value was &lt;0.001.</w:t>
      </w:r>
    </w:p>
    <w:p w:rsidR="00B94DF6" w:rsidRPr="001D40EB" w:rsidRDefault="00FC5555" w:rsidP="00B94DF6">
      <w:pPr>
        <w:pStyle w:val="BodyText"/>
        <w:spacing w:before="90" w:line="281" w:lineRule="auto"/>
        <w:ind w:left="101"/>
      </w:pPr>
      <w:r>
        <w:t>In this</w:t>
      </w:r>
      <w:r w:rsidR="00446C0F" w:rsidRPr="00446C0F">
        <w:t xml:space="preserve"> present study, TT homozygous genotype of </w:t>
      </w:r>
      <w:r w:rsidR="00446C0F" w:rsidRPr="00F07784">
        <w:t>AGT</w:t>
      </w:r>
      <w:r w:rsidR="00446C0F" w:rsidRPr="00446C0F">
        <w:rPr>
          <w:i/>
        </w:rPr>
        <w:t xml:space="preserve"> </w:t>
      </w:r>
      <w:r w:rsidR="00446C0F" w:rsidRPr="00446C0F">
        <w:t>M235T has about five folds higher risk of e</w:t>
      </w:r>
      <w:r w:rsidR="0093425E">
        <w:t>ssential hypertension [OR</w:t>
      </w:r>
      <w:r w:rsidR="00446C0F" w:rsidRPr="00446C0F">
        <w:t xml:space="preserve"> = 4.93 (95% CI = 1.97-3.40)].</w:t>
      </w:r>
      <w:r w:rsidR="00446C0F" w:rsidRPr="00446C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46C0F" w:rsidRPr="00446C0F">
        <w:t>The frequency of homozygous TT genotype was more common in hypertensives than normotensives. The odd ratio for hypertension with subjects carrying “T” allele was [OR= 2.56 (95% CI) 1.59 to 4.13].</w:t>
      </w:r>
      <w:r w:rsidR="00B94DF6" w:rsidRPr="00B94DF6">
        <w:t xml:space="preserve"> </w:t>
      </w:r>
      <w:r w:rsidR="00B94DF6">
        <w:t>Subjects</w:t>
      </w:r>
      <w:r w:rsidR="00B94DF6" w:rsidRPr="009371AD">
        <w:t xml:space="preserve"> carrying TT genotypes have the higher level of plasma angiotensinogen level than other genotypes MT and MM (p=0.005 and p &lt; 0.001) in both hypertensives and normotensives.</w:t>
      </w:r>
    </w:p>
    <w:p w:rsidR="001D40EB" w:rsidRPr="001D40EB" w:rsidRDefault="001D40EB" w:rsidP="001D40EB">
      <w:pPr>
        <w:pStyle w:val="BodyText"/>
        <w:spacing w:before="90" w:line="281" w:lineRule="auto"/>
        <w:ind w:left="101"/>
      </w:pPr>
      <w:r>
        <w:lastRenderedPageBreak/>
        <w:t xml:space="preserve">Conclusion: </w:t>
      </w:r>
      <w:r w:rsidRPr="001D40EB">
        <w:t xml:space="preserve">Therefore, this study gave information </w:t>
      </w:r>
      <w:r w:rsidR="00F07784">
        <w:t>about</w:t>
      </w:r>
      <w:r w:rsidRPr="001D40EB">
        <w:t xml:space="preserve"> </w:t>
      </w:r>
      <w:r w:rsidRPr="00F07784">
        <w:t>AGT</w:t>
      </w:r>
      <w:r w:rsidRPr="001D40EB">
        <w:rPr>
          <w:i/>
        </w:rPr>
        <w:t xml:space="preserve"> </w:t>
      </w:r>
      <w:r w:rsidRPr="001D40EB">
        <w:t xml:space="preserve">M235T is an important gene for determining susceptibility to essential hypertension. By studying the </w:t>
      </w:r>
      <w:r w:rsidRPr="00F07784">
        <w:t>AGT</w:t>
      </w:r>
      <w:r w:rsidRPr="001D40EB">
        <w:rPr>
          <w:i/>
        </w:rPr>
        <w:t xml:space="preserve"> </w:t>
      </w:r>
      <w:r w:rsidRPr="001D40EB">
        <w:t>M235T gene, subjects with risk allele carrier have higher plasma angiotensinogen level and increased risk to essential hypertension</w:t>
      </w:r>
      <w:r w:rsidR="0093425E">
        <w:t xml:space="preserve"> </w:t>
      </w:r>
      <w:r w:rsidRPr="001D40EB">
        <w:t>in Myanmar.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F07784" w:rsidRDefault="00F07784" w:rsidP="005973B9">
      <w:pPr>
        <w:spacing w:line="204" w:lineRule="exact"/>
        <w:rPr>
          <w:rFonts w:ascii="Arial"/>
          <w:b/>
          <w:sz w:val="20"/>
        </w:rPr>
      </w:pPr>
    </w:p>
    <w:p w:rsidR="005542BC" w:rsidRPr="005542BC" w:rsidRDefault="000B3C92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  <w:r>
        <w:rPr>
          <w:rFonts w:ascii="Calibri" w:eastAsia="Calibri" w:hAnsi="Calibri" w:cs="Calibri"/>
          <w:bCs/>
          <w:sz w:val="18"/>
        </w:rPr>
        <w:t xml:space="preserve">(1) </w:t>
      </w:r>
      <w:r w:rsidR="005542BC" w:rsidRPr="005542BC">
        <w:rPr>
          <w:rFonts w:ascii="Calibri" w:eastAsia="Calibri" w:hAnsi="Calibri" w:cs="Calibri"/>
          <w:bCs/>
          <w:sz w:val="18"/>
        </w:rPr>
        <w:t>Khin</w:t>
      </w:r>
      <w:r w:rsidR="005542BC"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>Sandar</w:t>
      </w:r>
      <w:r w:rsidR="005542BC"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>Oo, Khin Win Sein, Theingi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 xml:space="preserve">Myint </w:t>
      </w:r>
      <w:r w:rsidR="00F07784">
        <w:rPr>
          <w:rFonts w:ascii="Calibri" w:eastAsia="Calibri" w:hAnsi="Calibri" w:cs="Calibri"/>
          <w:bCs/>
          <w:sz w:val="18"/>
        </w:rPr>
        <w:t>(2012)</w:t>
      </w:r>
      <w:r w:rsidR="005542BC" w:rsidRPr="005542BC">
        <w:rPr>
          <w:rFonts w:ascii="Calibri" w:eastAsia="Calibri" w:hAnsi="Calibri" w:cs="Calibri"/>
          <w:bCs/>
          <w:sz w:val="18"/>
        </w:rPr>
        <w:t xml:space="preserve">“A  </w:t>
      </w:r>
      <w:r w:rsidR="005542BC">
        <w:rPr>
          <w:rFonts w:ascii="Calibri" w:eastAsia="Calibri" w:hAnsi="Calibri" w:cs="Calibri"/>
          <w:bCs/>
          <w:sz w:val="18"/>
        </w:rPr>
        <w:t>Study of High Sensitivity C-Reactive</w:t>
      </w:r>
      <w:r w:rsidR="005542BC" w:rsidRPr="005542BC">
        <w:rPr>
          <w:rFonts w:ascii="Calibri" w:eastAsia="Calibri" w:hAnsi="Calibri" w:cs="Calibri"/>
          <w:bCs/>
          <w:sz w:val="18"/>
        </w:rPr>
        <w:t xml:space="preserve"> Protein Level,  Microalbuminuria and Creatinine Clearance in Type </w:t>
      </w:r>
      <w:r w:rsidR="005542BC">
        <w:rPr>
          <w:rFonts w:ascii="Calibri" w:eastAsia="Calibri" w:hAnsi="Calibri" w:cs="Calibri"/>
          <w:bCs/>
          <w:sz w:val="18"/>
        </w:rPr>
        <w:t>2</w:t>
      </w:r>
      <w:r w:rsidR="005542BC" w:rsidRPr="005542BC">
        <w:rPr>
          <w:rFonts w:ascii="Calibri" w:eastAsia="Calibri" w:hAnsi="Calibri" w:cs="Calibri"/>
          <w:bCs/>
          <w:sz w:val="18"/>
        </w:rPr>
        <w:t xml:space="preserve"> Diabetes Patients”, M.Med.,S (Thesis), University of </w:t>
      </w:r>
      <w:r w:rsidR="005542BC">
        <w:rPr>
          <w:rFonts w:ascii="Calibri" w:eastAsia="Calibri" w:hAnsi="Calibri" w:cs="Calibri"/>
          <w:bCs/>
          <w:sz w:val="18"/>
        </w:rPr>
        <w:t>M</w:t>
      </w:r>
      <w:r w:rsidR="00F07784">
        <w:rPr>
          <w:rFonts w:ascii="Calibri" w:eastAsia="Calibri" w:hAnsi="Calibri" w:cs="Calibri"/>
          <w:bCs/>
          <w:sz w:val="18"/>
        </w:rPr>
        <w:t>edicine, Mandalay, Myanmar</w:t>
      </w:r>
    </w:p>
    <w:p w:rsidR="005542BC" w:rsidRPr="005542BC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</w:p>
    <w:p w:rsidR="005542BC" w:rsidRPr="005542BC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  <w:r w:rsidRPr="005542BC">
        <w:rPr>
          <w:rFonts w:ascii="Calibri" w:eastAsia="Calibri" w:hAnsi="Calibri" w:cs="Calibri"/>
          <w:bCs/>
          <w:sz w:val="18"/>
        </w:rPr>
        <w:t>(2) Khin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>Sandar</w:t>
      </w:r>
      <w:r>
        <w:rPr>
          <w:rFonts w:ascii="Calibri" w:eastAsia="Calibri" w:hAnsi="Calibri" w:cs="Calibri"/>
          <w:bCs/>
          <w:sz w:val="18"/>
        </w:rPr>
        <w:t xml:space="preserve"> Oo (2012)</w:t>
      </w:r>
      <w:r w:rsidRPr="005542BC">
        <w:rPr>
          <w:rFonts w:ascii="Calibri" w:eastAsia="Calibri" w:hAnsi="Calibri" w:cs="Calibri"/>
          <w:bCs/>
          <w:sz w:val="18"/>
        </w:rPr>
        <w:t xml:space="preserve"> “A Study of High Sensitivity C-Reactive Protein Level, Microalbuminuria and Creatinine Clearance in Type 2 Diabetes Patients” Conference of Myanmar Medical Associatio</w:t>
      </w:r>
      <w:r>
        <w:rPr>
          <w:rFonts w:ascii="Calibri" w:eastAsia="Calibri" w:hAnsi="Calibri" w:cs="Calibri"/>
          <w:bCs/>
          <w:sz w:val="18"/>
        </w:rPr>
        <w:t xml:space="preserve">n (MMA), Mandalay, Myanmar, </w:t>
      </w:r>
      <w:r w:rsidRPr="005542BC">
        <w:rPr>
          <w:rFonts w:ascii="Calibri" w:eastAsia="Calibri" w:hAnsi="Calibri" w:cs="Calibri"/>
          <w:bCs/>
          <w:sz w:val="18"/>
        </w:rPr>
        <w:t>(Abstract)</w:t>
      </w:r>
    </w:p>
    <w:p w:rsidR="005542BC" w:rsidRPr="005542BC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</w:p>
    <w:p w:rsidR="00F07784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  <w:r w:rsidRPr="005542BC">
        <w:rPr>
          <w:rFonts w:ascii="Calibri" w:eastAsia="Calibri" w:hAnsi="Calibri" w:cs="Calibri"/>
          <w:bCs/>
          <w:sz w:val="18"/>
        </w:rPr>
        <w:t>(3) Marte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>Kjollesdal, Aung</w:t>
      </w:r>
      <w:r>
        <w:rPr>
          <w:rFonts w:ascii="Calibri" w:eastAsia="Calibri" w:hAnsi="Calibri" w:cs="Calibri"/>
          <w:bCs/>
          <w:sz w:val="18"/>
        </w:rPr>
        <w:t xml:space="preserve"> Soe Htet, Hein Stigum,</w:t>
      </w:r>
      <w:r w:rsidRPr="005542BC">
        <w:rPr>
          <w:rFonts w:ascii="Calibri" w:eastAsia="Calibri" w:hAnsi="Calibri" w:cs="Calibri"/>
          <w:bCs/>
          <w:sz w:val="18"/>
        </w:rPr>
        <w:t xml:space="preserve"> Khin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>Sandar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 xml:space="preserve">Oo, </w:t>
      </w:r>
    </w:p>
    <w:p w:rsidR="005542BC" w:rsidRPr="005542BC" w:rsidRDefault="00F07784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  <w:r>
        <w:rPr>
          <w:rFonts w:ascii="Calibri" w:eastAsia="Calibri" w:hAnsi="Calibri" w:cs="Calibri"/>
          <w:bCs/>
          <w:sz w:val="18"/>
        </w:rPr>
        <w:t xml:space="preserve">Aung Kyaw Khant, </w:t>
      </w:r>
      <w:r w:rsidR="005542BC" w:rsidRPr="005542BC">
        <w:rPr>
          <w:rFonts w:ascii="Calibri" w:eastAsia="Calibri" w:hAnsi="Calibri" w:cs="Calibri"/>
          <w:bCs/>
          <w:sz w:val="18"/>
        </w:rPr>
        <w:t>Ei</w:t>
      </w:r>
      <w:r w:rsidR="005542BC"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>Sandar</w:t>
      </w:r>
      <w:r w:rsidR="005542BC"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>Oo and Espen</w:t>
      </w:r>
      <w:r w:rsidR="005542BC"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>Bjertness</w:t>
      </w:r>
      <w:r w:rsidR="005542BC">
        <w:rPr>
          <w:rFonts w:ascii="Calibri" w:eastAsia="Calibri" w:hAnsi="Calibri" w:cs="Calibri"/>
          <w:bCs/>
          <w:sz w:val="18"/>
        </w:rPr>
        <w:t xml:space="preserve"> (2016)</w:t>
      </w:r>
      <w:r w:rsidR="005542BC" w:rsidRPr="005542BC">
        <w:rPr>
          <w:rFonts w:ascii="Calibri" w:eastAsia="Calibri" w:hAnsi="Calibri" w:cs="Calibri"/>
          <w:bCs/>
          <w:sz w:val="18"/>
        </w:rPr>
        <w:t xml:space="preserve"> “Consumption of fruits and vegetables and associations with risk factors for non-communicable disease in the Yangon Region of Myanmar:</w:t>
      </w:r>
      <w:r w:rsidR="005542BC">
        <w:rPr>
          <w:rFonts w:ascii="Calibri" w:eastAsia="Calibri" w:hAnsi="Calibri" w:cs="Calibri"/>
          <w:bCs/>
          <w:sz w:val="18"/>
        </w:rPr>
        <w:t xml:space="preserve"> </w:t>
      </w:r>
      <w:r w:rsidR="005542BC" w:rsidRPr="005542BC">
        <w:rPr>
          <w:rFonts w:ascii="Calibri" w:eastAsia="Calibri" w:hAnsi="Calibri" w:cs="Calibri"/>
          <w:bCs/>
          <w:sz w:val="18"/>
        </w:rPr>
        <w:t>a</w:t>
      </w:r>
      <w:r w:rsidR="005542BC">
        <w:rPr>
          <w:rFonts w:ascii="Calibri" w:eastAsia="Calibri" w:hAnsi="Calibri" w:cs="Calibri"/>
          <w:bCs/>
          <w:sz w:val="18"/>
        </w:rPr>
        <w:t xml:space="preserve"> cross-sectional study: BMJ</w:t>
      </w:r>
      <w:r w:rsidR="005542BC" w:rsidRPr="005542BC">
        <w:rPr>
          <w:rFonts w:ascii="Calibri" w:eastAsia="Calibri" w:hAnsi="Calibri" w:cs="Calibri"/>
          <w:bCs/>
          <w:sz w:val="18"/>
        </w:rPr>
        <w:t>; 6(8):e011649</w:t>
      </w:r>
    </w:p>
    <w:p w:rsidR="005542BC" w:rsidRPr="005542BC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</w:p>
    <w:p w:rsidR="005542BC" w:rsidRPr="005542BC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  <w:r w:rsidRPr="005542BC">
        <w:rPr>
          <w:rFonts w:ascii="Calibri" w:eastAsia="Calibri" w:hAnsi="Calibri" w:cs="Calibri"/>
          <w:bCs/>
          <w:sz w:val="18"/>
        </w:rPr>
        <w:t>(4) Khin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>Sandar</w:t>
      </w:r>
      <w:r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>Oo, Khin Win Sein, May Pyone</w:t>
      </w:r>
      <w:r w:rsidR="00F07784">
        <w:rPr>
          <w:rFonts w:ascii="Calibri" w:eastAsia="Calibri" w:hAnsi="Calibri" w:cs="Calibri"/>
          <w:bCs/>
          <w:sz w:val="18"/>
        </w:rPr>
        <w:t xml:space="preserve"> </w:t>
      </w:r>
      <w:r w:rsidRPr="005542BC">
        <w:rPr>
          <w:rFonts w:ascii="Calibri" w:eastAsia="Calibri" w:hAnsi="Calibri" w:cs="Calibri"/>
          <w:bCs/>
          <w:sz w:val="18"/>
        </w:rPr>
        <w:t xml:space="preserve">Kyaw, Mo Mo Than and Aye Thidar </w:t>
      </w:r>
      <w:r>
        <w:rPr>
          <w:rFonts w:ascii="Calibri" w:eastAsia="Calibri" w:hAnsi="Calibri" w:cs="Calibri"/>
          <w:bCs/>
          <w:sz w:val="18"/>
        </w:rPr>
        <w:t xml:space="preserve"> (2017)</w:t>
      </w:r>
      <w:r w:rsidRPr="005542BC">
        <w:rPr>
          <w:rFonts w:ascii="Calibri" w:eastAsia="Calibri" w:hAnsi="Calibri" w:cs="Calibri"/>
          <w:bCs/>
          <w:sz w:val="18"/>
        </w:rPr>
        <w:t>“Association between Angiotensinogen Gene M235T polymorphism and plasma angiotensinogen level in essential hypertension</w:t>
      </w:r>
      <w:r>
        <w:rPr>
          <w:rFonts w:ascii="Calibri" w:eastAsia="Calibri" w:hAnsi="Calibri" w:cs="Calibri"/>
          <w:bCs/>
          <w:sz w:val="18"/>
        </w:rPr>
        <w:t>”</w:t>
      </w:r>
      <w:r w:rsidRPr="005542BC">
        <w:rPr>
          <w:rFonts w:ascii="Calibri" w:eastAsia="Calibri" w:hAnsi="Calibri" w:cs="Calibri"/>
          <w:bCs/>
          <w:sz w:val="18"/>
        </w:rPr>
        <w:t xml:space="preserve"> PhD (Thesis), University of M</w:t>
      </w:r>
      <w:r>
        <w:rPr>
          <w:rFonts w:ascii="Calibri" w:eastAsia="Calibri" w:hAnsi="Calibri" w:cs="Calibri"/>
          <w:bCs/>
          <w:sz w:val="18"/>
        </w:rPr>
        <w:t>edicine, Mandalay, Myanmar</w:t>
      </w:r>
    </w:p>
    <w:p w:rsidR="005542BC" w:rsidRPr="005542BC" w:rsidRDefault="005542BC" w:rsidP="005542BC">
      <w:pPr>
        <w:tabs>
          <w:tab w:val="left" w:pos="384"/>
        </w:tabs>
        <w:ind w:right="117"/>
        <w:rPr>
          <w:rFonts w:ascii="Calibri" w:eastAsia="Calibri" w:hAnsi="Calibri" w:cs="Calibri"/>
          <w:bCs/>
          <w:sz w:val="18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864E9">
      <w:pPr>
        <w:pStyle w:val="BodyText"/>
        <w:spacing w:line="40" w:lineRule="exact"/>
        <w:ind w:left="2202"/>
        <w:rPr>
          <w:rFonts w:ascii="Calibri"/>
          <w:sz w:val="4"/>
        </w:rPr>
      </w:pPr>
      <w:r w:rsidRPr="008864E9">
        <w:rPr>
          <w:rFonts w:ascii="Calibri"/>
          <w:noProof/>
          <w:sz w:val="4"/>
          <w:lang w:val="en-IN" w:eastAsia="en-IN"/>
        </w:rPr>
      </w:r>
      <w:r w:rsidRPr="008864E9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0B3C92" w:rsidRDefault="005542BC" w:rsidP="000B3C92">
      <w:pPr>
        <w:spacing w:before="92"/>
        <w:ind w:right="4234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>
            <wp:extent cx="624687" cy="804672"/>
            <wp:effectExtent l="19050" t="0" r="3963" b="0"/>
            <wp:docPr id="25" name="Picture 1" descr="C:\Users\D257\Pictures\acer\IMG_20170626_11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257\Pictures\acer\IMG_20170626_1131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67" cy="80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414810" w:rsidP="000B3C92">
      <w:pPr>
        <w:spacing w:before="41" w:line="360" w:lineRule="auto"/>
        <w:ind w:left="216" w:right="2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am Dr Khin Sandar Oo, lecturer of Department of Biochemistry, University of Medicine Mandalay. I have finished PhD (Biochemistry) in the recent year, 2017. </w:t>
      </w:r>
      <w:r w:rsidR="00DC092B">
        <w:rPr>
          <w:rFonts w:ascii="Times New Roman" w:hAnsi="Times New Roman" w:cs="Times New Roman"/>
        </w:rPr>
        <w:t>My research</w:t>
      </w:r>
      <w:r w:rsidR="00F07784">
        <w:rPr>
          <w:rFonts w:ascii="Times New Roman" w:hAnsi="Times New Roman" w:cs="Times New Roman"/>
        </w:rPr>
        <w:t xml:space="preserve"> title is “Association between a</w:t>
      </w:r>
      <w:r w:rsidR="00DC092B">
        <w:rPr>
          <w:rFonts w:ascii="Times New Roman" w:hAnsi="Times New Roman" w:cs="Times New Roman"/>
        </w:rPr>
        <w:t>ngiotnsinogen gene M235T polymorphism and plasma angiotensinogen level in essential hypertension”. I am doing ongoing departmental re</w:t>
      </w:r>
      <w:r w:rsidR="00F07784">
        <w:rPr>
          <w:rFonts w:ascii="Times New Roman" w:hAnsi="Times New Roman" w:cs="Times New Roman"/>
        </w:rPr>
        <w:t>search concerned with</w:t>
      </w:r>
      <w:r w:rsidR="004341F1">
        <w:rPr>
          <w:rFonts w:ascii="Times New Roman" w:hAnsi="Times New Roman" w:cs="Times New Roman"/>
        </w:rPr>
        <w:t xml:space="preserve"> the Renin Angiotensin</w:t>
      </w:r>
      <w:r w:rsidR="00DC092B">
        <w:rPr>
          <w:rFonts w:ascii="Times New Roman" w:hAnsi="Times New Roman" w:cs="Times New Roman"/>
        </w:rPr>
        <w:t xml:space="preserve"> System genes polymorphism in essential hypertension in Myanmar.</w:t>
      </w:r>
    </w:p>
    <w:p w:rsidR="00203156" w:rsidRDefault="00203156">
      <w:pPr>
        <w:spacing w:before="41" w:line="154" w:lineRule="exact"/>
        <w:ind w:left="213" w:right="231"/>
        <w:jc w:val="both"/>
        <w:rPr>
          <w:rFonts w:ascii="Times New Roman" w:hAnsi="Times New Roman" w:cs="Times New Roman"/>
        </w:rPr>
      </w:pPr>
    </w:p>
    <w:p w:rsidR="00AE3E37" w:rsidRDefault="00A9710C" w:rsidP="00006429">
      <w:pPr>
        <w:spacing w:before="62"/>
        <w:ind w:left="4217" w:right="4235"/>
        <w:rPr>
          <w:rStyle w:val="Hyperlink"/>
          <w:rFonts w:ascii="Arial"/>
          <w:sz w:val="14"/>
        </w:rPr>
      </w:pPr>
      <w:bookmarkStart w:id="0" w:name="_GoBack"/>
      <w:bookmarkEnd w:id="0"/>
      <w:r>
        <w:rPr>
          <w:rFonts w:ascii="Arial"/>
          <w:sz w:val="14"/>
        </w:rPr>
        <w:t xml:space="preserve">Email: </w:t>
      </w:r>
      <w:r w:rsidR="007606DC">
        <w:rPr>
          <w:rFonts w:ascii="Arial"/>
          <w:sz w:val="14"/>
        </w:rPr>
        <w:t>khin.sandaroo@ummdy.com</w:t>
      </w:r>
    </w:p>
    <w:p w:rsidR="00006429" w:rsidRPr="00006429" w:rsidRDefault="00006429" w:rsidP="00006429">
      <w:pPr>
        <w:spacing w:before="62"/>
        <w:ind w:left="4217" w:right="4235"/>
        <w:rPr>
          <w:rFonts w:ascii="Arial"/>
          <w:sz w:val="14"/>
        </w:rPr>
      </w:pPr>
      <w:r w:rsidRPr="00006429">
        <w:rPr>
          <w:rStyle w:val="Hyperlink"/>
          <w:rFonts w:ascii="Arial"/>
          <w:color w:val="auto"/>
          <w:sz w:val="14"/>
          <w:u w:val="none"/>
        </w:rPr>
        <w:t xml:space="preserve">Phone No: </w:t>
      </w:r>
      <w:r w:rsidR="007606DC">
        <w:rPr>
          <w:rStyle w:val="Hyperlink"/>
          <w:rFonts w:ascii="Arial"/>
          <w:color w:val="auto"/>
          <w:sz w:val="14"/>
          <w:u w:val="none"/>
        </w:rPr>
        <w:t>+959448051822</w:t>
      </w:r>
    </w:p>
    <w:p w:rsidR="00AE3E37" w:rsidRDefault="008864E9">
      <w:pPr>
        <w:pStyle w:val="BodyText"/>
        <w:spacing w:before="2"/>
        <w:rPr>
          <w:rFonts w:ascii="Arial"/>
          <w:sz w:val="19"/>
        </w:rPr>
      </w:pPr>
      <w:r w:rsidRPr="008864E9">
        <w:rPr>
          <w:noProof/>
          <w:lang w:val="en-IN" w:eastAsia="en-IN"/>
        </w:rPr>
        <w:lastRenderedPageBreak/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446B" w:rsidRDefault="003D446B">
      <w:r>
        <w:separator/>
      </w:r>
    </w:p>
  </w:endnote>
  <w:endnote w:type="continuationSeparator" w:id="1">
    <w:p w:rsidR="003D446B" w:rsidRDefault="003D4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BC" w:rsidRDefault="008864E9">
    <w:pPr>
      <w:pStyle w:val="BodyText"/>
      <w:spacing w:line="14" w:lineRule="auto"/>
      <w:rPr>
        <w:sz w:val="20"/>
      </w:rPr>
    </w:pPr>
    <w:r w:rsidRPr="008864E9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5542BC" w:rsidRPr="00B93B9F" w:rsidRDefault="005542BC">
                <w:pPr>
                  <w:spacing w:line="184" w:lineRule="exact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B93B9F">
                  <w:rPr>
                    <w:rFonts w:ascii="Arial"/>
                    <w:color w:val="FFFFFF"/>
                    <w:sz w:val="16"/>
                  </w:rPr>
                  <w:t>J Pain Relief</w:t>
                </w:r>
              </w:p>
              <w:p w:rsidR="005542BC" w:rsidRPr="00B93B9F" w:rsidRDefault="005542BC">
                <w:pPr>
                  <w:spacing w:before="8"/>
                  <w:ind w:left="20" w:right="-12"/>
                  <w:rPr>
                    <w:rFonts w:ascii="Arial"/>
                    <w:color w:val="FFFFFF"/>
                    <w:sz w:val="16"/>
                  </w:rPr>
                </w:pPr>
                <w:r w:rsidRPr="00B93B9F">
                  <w:rPr>
                    <w:rFonts w:ascii="Arial"/>
                    <w:color w:val="FFFFFF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8864E9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5542BC" w:rsidRPr="00B93B9F" w:rsidRDefault="005542BC">
                <w:pPr>
                  <w:spacing w:line="269" w:lineRule="exact"/>
                  <w:jc w:val="center"/>
                  <w:rPr>
                    <w:rFonts w:ascii="Impact"/>
                    <w:color w:val="FFFFFF"/>
                    <w:sz w:val="24"/>
                  </w:rPr>
                </w:pPr>
                <w:r w:rsidRPr="00B93B9F">
                  <w:rPr>
                    <w:rFonts w:ascii="Impact"/>
                    <w:color w:val="FFFFFF"/>
                    <w:sz w:val="24"/>
                  </w:rPr>
                  <w:t>Fibromyalgia 2016</w:t>
                </w:r>
              </w:p>
              <w:p w:rsidR="005542BC" w:rsidRPr="00B93B9F" w:rsidRDefault="005542BC">
                <w:pPr>
                  <w:spacing w:before="29"/>
                  <w:jc w:val="center"/>
                  <w:rPr>
                    <w:rFonts w:ascii="Arial"/>
                    <w:color w:val="FFFFFF"/>
                    <w:sz w:val="16"/>
                  </w:rPr>
                </w:pPr>
                <w:r w:rsidRPr="00B93B9F">
                  <w:rPr>
                    <w:rFonts w:ascii="Arial"/>
                    <w:color w:val="FFFFFF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864E9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5542BC" w:rsidRPr="00B93B9F" w:rsidRDefault="005542B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/>
                    <w:sz w:val="16"/>
                  </w:rPr>
                </w:pPr>
                <w:r w:rsidRPr="00B93B9F">
                  <w:rPr>
                    <w:rFonts w:ascii="Arial"/>
                    <w:color w:val="FFFFFF"/>
                    <w:sz w:val="16"/>
                  </w:rPr>
                  <w:t>Volume 5, Issue 3(Suppl)</w:t>
                </w:r>
              </w:p>
              <w:p w:rsidR="005542BC" w:rsidRPr="00B93B9F" w:rsidRDefault="005542BC">
                <w:pPr>
                  <w:spacing w:before="116"/>
                  <w:ind w:right="18"/>
                  <w:jc w:val="right"/>
                  <w:rPr>
                    <w:rFonts w:ascii="Minion Pro"/>
                    <w:color w:val="FFFFFF"/>
                    <w:sz w:val="16"/>
                  </w:rPr>
                </w:pPr>
                <w:r w:rsidRPr="00B93B9F">
                  <w:rPr>
                    <w:rFonts w:ascii="Minion Pro"/>
                    <w:color w:val="FFFFFF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446B" w:rsidRDefault="003D446B">
      <w:r>
        <w:separator/>
      </w:r>
    </w:p>
  </w:footnote>
  <w:footnote w:type="continuationSeparator" w:id="1">
    <w:p w:rsidR="003D446B" w:rsidRDefault="003D44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BC" w:rsidRDefault="008864E9">
    <w:pPr>
      <w:pStyle w:val="BodyText"/>
      <w:spacing w:line="14" w:lineRule="auto"/>
      <w:rPr>
        <w:sz w:val="20"/>
      </w:rPr>
    </w:pPr>
    <w:r w:rsidRPr="008864E9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5542BC" w:rsidRPr="00B93B9F" w:rsidRDefault="005542B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/>
                    <w:sz w:val="14"/>
                  </w:rPr>
                </w:pPr>
                <w:r w:rsidRPr="00B93B9F">
                  <w:rPr>
                    <w:rFonts w:ascii="Arial"/>
                    <w:color w:val="FFFFFF"/>
                    <w:sz w:val="14"/>
                  </w:rPr>
                  <w:t xml:space="preserve">T Furuta et al., J Pai n Relief 2016, 5:3(Suppl) </w:t>
                </w:r>
                <w:hyperlink r:id="rId1">
                  <w:r w:rsidRPr="00B93B9F">
                    <w:rPr>
                      <w:rFonts w:ascii="Arial"/>
                      <w:color w:val="FFFFFF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8864E9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5542BC" w:rsidRPr="00B93B9F" w:rsidRDefault="005542B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/>
                  </w:rPr>
                </w:pPr>
                <w:r w:rsidRPr="00B93B9F">
                  <w:rPr>
                    <w:rFonts w:ascii="Myriad Pro"/>
                    <w:color w:val="FFFFFF"/>
                  </w:rPr>
                  <w:t>International Conference on</w:t>
                </w:r>
              </w:p>
              <w:p w:rsidR="005542BC" w:rsidRPr="00B93B9F" w:rsidRDefault="005542BC">
                <w:pPr>
                  <w:spacing w:line="614" w:lineRule="exact"/>
                  <w:ind w:left="20" w:right="-10"/>
                  <w:rPr>
                    <w:rFonts w:ascii="Minion Pro"/>
                    <w:color w:val="FFFFFF"/>
                    <w:sz w:val="24"/>
                  </w:rPr>
                </w:pPr>
                <w:r w:rsidRPr="00B93B9F">
                  <w:rPr>
                    <w:rFonts w:ascii="Impact"/>
                    <w:color w:val="FFFFFF"/>
                    <w:sz w:val="52"/>
                  </w:rPr>
                  <w:t xml:space="preserve">Fibromyalgia and Chronic Pain </w:t>
                </w:r>
                <w:r w:rsidRPr="00B93B9F">
                  <w:rPr>
                    <w:rFonts w:ascii="Minion Pro"/>
                    <w:color w:val="FFFFFF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06429"/>
    <w:rsid w:val="000B3C92"/>
    <w:rsid w:val="000E2911"/>
    <w:rsid w:val="001159CA"/>
    <w:rsid w:val="001263DF"/>
    <w:rsid w:val="001D40EB"/>
    <w:rsid w:val="00203156"/>
    <w:rsid w:val="002344FE"/>
    <w:rsid w:val="00292ED9"/>
    <w:rsid w:val="002E63DB"/>
    <w:rsid w:val="003D446B"/>
    <w:rsid w:val="00404E5B"/>
    <w:rsid w:val="00414810"/>
    <w:rsid w:val="00414F7B"/>
    <w:rsid w:val="004341F1"/>
    <w:rsid w:val="004355DC"/>
    <w:rsid w:val="00446C0F"/>
    <w:rsid w:val="004749B4"/>
    <w:rsid w:val="00474B11"/>
    <w:rsid w:val="00494130"/>
    <w:rsid w:val="004F3523"/>
    <w:rsid w:val="005542BC"/>
    <w:rsid w:val="005973B9"/>
    <w:rsid w:val="005A77EA"/>
    <w:rsid w:val="005B3A56"/>
    <w:rsid w:val="005C0676"/>
    <w:rsid w:val="006060CE"/>
    <w:rsid w:val="0063497F"/>
    <w:rsid w:val="00674CB8"/>
    <w:rsid w:val="00753CB6"/>
    <w:rsid w:val="007606DC"/>
    <w:rsid w:val="00842095"/>
    <w:rsid w:val="00873DF0"/>
    <w:rsid w:val="008756E6"/>
    <w:rsid w:val="008864E9"/>
    <w:rsid w:val="0093425E"/>
    <w:rsid w:val="009461F9"/>
    <w:rsid w:val="009B2D44"/>
    <w:rsid w:val="00A07E82"/>
    <w:rsid w:val="00A600FE"/>
    <w:rsid w:val="00A9710C"/>
    <w:rsid w:val="00AA1DA2"/>
    <w:rsid w:val="00AE3E37"/>
    <w:rsid w:val="00AE7050"/>
    <w:rsid w:val="00AF74F5"/>
    <w:rsid w:val="00B21A57"/>
    <w:rsid w:val="00B93B9F"/>
    <w:rsid w:val="00B94DF6"/>
    <w:rsid w:val="00B95AD4"/>
    <w:rsid w:val="00C33602"/>
    <w:rsid w:val="00CA6EC9"/>
    <w:rsid w:val="00CD6F55"/>
    <w:rsid w:val="00D82D10"/>
    <w:rsid w:val="00DC092B"/>
    <w:rsid w:val="00DE3104"/>
    <w:rsid w:val="00E36CBB"/>
    <w:rsid w:val="00E565F8"/>
    <w:rsid w:val="00EA596D"/>
    <w:rsid w:val="00F07784"/>
    <w:rsid w:val="00F11DB2"/>
    <w:rsid w:val="00F72EEA"/>
    <w:rsid w:val="00F84CAE"/>
    <w:rsid w:val="00FC55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3972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D257</cp:lastModifiedBy>
  <cp:revision>4</cp:revision>
  <dcterms:created xsi:type="dcterms:W3CDTF">2017-06-29T08:11:00Z</dcterms:created>
  <dcterms:modified xsi:type="dcterms:W3CDTF">2017-06-29T14:35:00Z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