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04C" w:rsidRPr="00D9304C" w:rsidRDefault="00D9304C" w:rsidP="00D9304C">
      <w:pPr>
        <w:jc w:val="right"/>
        <w:rPr>
          <w:b/>
          <w:bCs/>
          <w:sz w:val="28"/>
          <w:szCs w:val="28"/>
        </w:rPr>
      </w:pPr>
      <w:r w:rsidRPr="00D9304C">
        <w:rPr>
          <w:b/>
          <w:bCs/>
          <w:sz w:val="28"/>
          <w:szCs w:val="28"/>
        </w:rPr>
        <w:t>Predictors of spontaneous bacterial peritonitis in Egyptian patients with cirrhotic ascites</w:t>
      </w:r>
    </w:p>
    <w:p w:rsidR="00D9304C" w:rsidRPr="00D9304C" w:rsidRDefault="00D9304C" w:rsidP="00D9304C">
      <w:pPr>
        <w:jc w:val="right"/>
        <w:rPr>
          <w:b/>
          <w:bCs/>
          <w:rtl/>
        </w:rPr>
      </w:pPr>
      <w:bookmarkStart w:id="0" w:name="_GoBack"/>
    </w:p>
    <w:bookmarkEnd w:id="0"/>
    <w:p w:rsidR="00D9304C" w:rsidRPr="00D9304C" w:rsidRDefault="00D9304C" w:rsidP="00D9304C">
      <w:pPr>
        <w:jc w:val="right"/>
        <w:rPr>
          <w:b/>
          <w:bCs/>
        </w:rPr>
      </w:pPr>
      <w:proofErr w:type="gramStart"/>
      <w:r w:rsidRPr="00D9304C">
        <w:rPr>
          <w:b/>
          <w:bCs/>
        </w:rPr>
        <w:t xml:space="preserve">Khaled  </w:t>
      </w:r>
      <w:proofErr w:type="spellStart"/>
      <w:r w:rsidRPr="00D9304C">
        <w:rPr>
          <w:b/>
          <w:bCs/>
        </w:rPr>
        <w:t>Metwally</w:t>
      </w:r>
      <w:proofErr w:type="spellEnd"/>
      <w:proofErr w:type="gramEnd"/>
      <w:r w:rsidRPr="00D9304C">
        <w:rPr>
          <w:b/>
          <w:bCs/>
        </w:rPr>
        <w:t xml:space="preserve">, Tamer Fouad, </w:t>
      </w:r>
      <w:proofErr w:type="spellStart"/>
      <w:r w:rsidRPr="00D9304C">
        <w:rPr>
          <w:b/>
          <w:bCs/>
        </w:rPr>
        <w:t>Medhat</w:t>
      </w:r>
      <w:proofErr w:type="spellEnd"/>
      <w:r w:rsidRPr="00D9304C">
        <w:rPr>
          <w:b/>
          <w:bCs/>
        </w:rPr>
        <w:t xml:space="preserve"> </w:t>
      </w:r>
      <w:proofErr w:type="spellStart"/>
      <w:r w:rsidRPr="00D9304C">
        <w:rPr>
          <w:b/>
          <w:bCs/>
        </w:rPr>
        <w:t>Assem</w:t>
      </w:r>
      <w:proofErr w:type="spellEnd"/>
      <w:r w:rsidRPr="00D9304C">
        <w:rPr>
          <w:b/>
          <w:bCs/>
        </w:rPr>
        <w:t xml:space="preserve"> , </w:t>
      </w:r>
      <w:proofErr w:type="spellStart"/>
      <w:r w:rsidRPr="00D9304C">
        <w:rPr>
          <w:b/>
          <w:bCs/>
        </w:rPr>
        <w:t>Eman</w:t>
      </w:r>
      <w:proofErr w:type="spellEnd"/>
      <w:r w:rsidRPr="00D9304C">
        <w:rPr>
          <w:b/>
          <w:bCs/>
        </w:rPr>
        <w:t xml:space="preserve"> </w:t>
      </w:r>
      <w:proofErr w:type="spellStart"/>
      <w:r w:rsidRPr="00D9304C">
        <w:rPr>
          <w:b/>
          <w:bCs/>
        </w:rPr>
        <w:t>Abdelsameea</w:t>
      </w:r>
      <w:proofErr w:type="spellEnd"/>
      <w:r w:rsidRPr="00D9304C">
        <w:rPr>
          <w:b/>
          <w:bCs/>
        </w:rPr>
        <w:t xml:space="preserve"> and Mohamed </w:t>
      </w:r>
      <w:proofErr w:type="spellStart"/>
      <w:r w:rsidRPr="00D9304C">
        <w:rPr>
          <w:b/>
          <w:bCs/>
        </w:rPr>
        <w:t>Yousery</w:t>
      </w:r>
      <w:proofErr w:type="spellEnd"/>
    </w:p>
    <w:p w:rsidR="00401DAC" w:rsidRDefault="00D9304C" w:rsidP="00D9304C">
      <w:pPr>
        <w:jc w:val="right"/>
        <w:rPr>
          <w:rFonts w:hint="cs"/>
          <w:rtl/>
        </w:rPr>
      </w:pPr>
      <w:proofErr w:type="spellStart"/>
      <w:r>
        <w:t>Hepatology</w:t>
      </w:r>
      <w:proofErr w:type="spellEnd"/>
      <w:r>
        <w:t xml:space="preserve"> and gastroenterology Unit, National Liver Institute, </w:t>
      </w:r>
      <w:proofErr w:type="spellStart"/>
      <w:proofErr w:type="gramStart"/>
      <w:r>
        <w:t>Menoufiya</w:t>
      </w:r>
      <w:proofErr w:type="spellEnd"/>
      <w:r>
        <w:t xml:space="preserve">  University</w:t>
      </w:r>
      <w:proofErr w:type="gramEnd"/>
    </w:p>
    <w:p w:rsidR="00401DAC" w:rsidRDefault="00D9304C" w:rsidP="00401DAC">
      <w:pPr>
        <w:jc w:val="right"/>
        <w:rPr>
          <w:rFonts w:hint="cs"/>
        </w:rPr>
      </w:pPr>
      <w:r w:rsidRPr="00D9304C">
        <w:t>Abstract</w:t>
      </w:r>
    </w:p>
    <w:p w:rsidR="00401DAC" w:rsidRDefault="00401DAC" w:rsidP="00401DAC">
      <w:pPr>
        <w:jc w:val="right"/>
      </w:pPr>
      <w:r>
        <w:t xml:space="preserve">Background: Spontaneous bacterial peritonitis (SBP) is a serious complication of liver cirrhosis and finding a prognostic model to predict it is needed. Objective: to test the ability of different laboratory tests and the new </w:t>
      </w:r>
      <w:proofErr w:type="spellStart"/>
      <w:r>
        <w:t>Wehmeyer’s</w:t>
      </w:r>
      <w:proofErr w:type="spellEnd"/>
      <w:r>
        <w:t xml:space="preserve"> SBP scoring system to predict it. Methods: Three hundred patients admitted at the National Liver Institute, University of </w:t>
      </w:r>
      <w:proofErr w:type="spellStart"/>
      <w:r>
        <w:t>Menoufyia</w:t>
      </w:r>
      <w:proofErr w:type="spellEnd"/>
      <w:r>
        <w:t xml:space="preserve">, Egypt (2015-2016) with liver cirrhosis and ascites were included in our study. SBP was diagnosed if ascetic neutrophils count ≥ 250/µL with no sign of secondary peritonitis. Results: Median age 56 (29 –81 years), 60% men and primary cause of liver disease was hepatitis C, 91.7%. By univariate analysis: age, total bilirubin, AST, creatinine, international normalized ratio, MELD score, total </w:t>
      </w:r>
      <w:proofErr w:type="spellStart"/>
      <w:r>
        <w:t>leucocytic</w:t>
      </w:r>
      <w:proofErr w:type="spellEnd"/>
      <w:r>
        <w:t xml:space="preserve"> count, platelet count and C-reactive protein (CRP) were significant. By multivariate analysis independent predictors were age, platelet count and CRP (p = 0.004, 0.013 and &lt; 0.001, respectively). CRP at a cutoff point ≥ 13.5 mg/L could predict SBP (sensitivity 86.4% and specificity 66.0%). </w:t>
      </w:r>
      <w:proofErr w:type="spellStart"/>
      <w:r>
        <w:t>Wehmeyer’s</w:t>
      </w:r>
      <w:proofErr w:type="spellEnd"/>
      <w:r>
        <w:t xml:space="preserve"> SBP scoring system was able to predict it (p &lt; 0.001), only 4% of patients with 0 score developed SBP (CRP cutoff is 30 mg/L), while 92.8% with score of 3 or 4 developed it. By using our CRP cutoff value of 13.5 mg/L, no patient with 0 score developed SBP. Conclusion: age, CRP and platelet count are independent predictors for SBP and a scoring system including them could easily predict it. SBP diagnosis could be excluded in patients with zero score, using CRP cutoff value of 13.5 mg/L.</w:t>
      </w:r>
    </w:p>
    <w:p w:rsidR="00401DAC" w:rsidRDefault="00401DAC" w:rsidP="00401DAC">
      <w:pPr>
        <w:jc w:val="right"/>
      </w:pPr>
    </w:p>
    <w:p w:rsidR="00401DAC" w:rsidRDefault="00401DAC" w:rsidP="00401DAC">
      <w:pPr>
        <w:jc w:val="right"/>
      </w:pPr>
    </w:p>
    <w:p w:rsidR="00DE66BD" w:rsidRPr="00401DAC" w:rsidRDefault="00DE66BD" w:rsidP="00401DAC">
      <w:pPr>
        <w:jc w:val="right"/>
      </w:pPr>
    </w:p>
    <w:sectPr w:rsidR="00DE66BD" w:rsidRPr="00401DAC" w:rsidSect="00C26CE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19C"/>
    <w:rsid w:val="00401DAC"/>
    <w:rsid w:val="0054019C"/>
    <w:rsid w:val="00C26CE7"/>
    <w:rsid w:val="00D9304C"/>
    <w:rsid w:val="00DE6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4A977E7"/>
  <w15:chartTrackingRefBased/>
  <w15:docId w15:val="{28D04DFC-9189-4D5F-9B25-0EE86FD0E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Khaled Elsayed Amer</cp:lastModifiedBy>
  <cp:revision>3</cp:revision>
  <dcterms:created xsi:type="dcterms:W3CDTF">2018-02-04T06:27:00Z</dcterms:created>
  <dcterms:modified xsi:type="dcterms:W3CDTF">2018-02-27T07:59:00Z</dcterms:modified>
</cp:coreProperties>
</file>