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E1" w:rsidRDefault="00F828F2">
      <w:pPr>
        <w:tabs>
          <w:tab w:val="center" w:pos="4394"/>
        </w:tabs>
        <w:spacing w:before="200" w:after="200" w:line="240" w:lineRule="auto"/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mallCaps/>
          <w:sz w:val="24"/>
          <w:szCs w:val="24"/>
        </w:rPr>
        <w:t>CORRELATION BETWEEN LIVER STIFFNESS ESTIMATED BY ACOUSTIC RADIATION FORCE IMPULSE IMAGING AND SOLUBLE CD163 IN CHRONIC HEPATITIS C PATIENTS</w:t>
      </w:r>
    </w:p>
    <w:p w:rsidR="00705DE1" w:rsidRDefault="00F828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bidi="ar-EG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Mandour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M , EL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gohary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A 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Saleh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A 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Dewidar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 xml:space="preserve"> F.</w:t>
      </w:r>
    </w:p>
    <w:p w:rsidR="00705DE1" w:rsidRDefault="00F828F2">
      <w:pPr>
        <w:rPr>
          <w:rFonts w:ascii="Times New Roman" w:eastAsia="Times New Roman" w:hAnsi="Times New Roman" w:cs="Times New Roman"/>
          <w:sz w:val="20"/>
          <w:szCs w:val="20"/>
          <w:lang w:bidi="ar-EG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bidi="ar-EG"/>
        </w:rPr>
        <w:t>Alexandria,EGYPT</w:t>
      </w:r>
      <w:proofErr w:type="spellEnd"/>
    </w:p>
    <w:p w:rsidR="00705DE1" w:rsidRDefault="00F828F2">
      <w:pPr>
        <w:spacing w:after="0" w:line="240" w:lineRule="auto"/>
        <w:rPr>
          <w:rFonts w:ascii="Times New Roman" w:hAnsi="Times New Roman" w:cs="Times New Roman"/>
          <w:b/>
          <w:bCs/>
          <w:color w:val="0D0D0D"/>
          <w:sz w:val="32"/>
          <w:szCs w:val="32"/>
          <w:lang w:bidi="ar-EG"/>
        </w:rPr>
      </w:pPr>
      <w:r>
        <w:rPr>
          <w:rFonts w:ascii="Times New Roman" w:hAnsi="Times New Roman" w:cs="Times New Roman"/>
          <w:b/>
          <w:bCs/>
          <w:color w:val="0D0D0D"/>
          <w:sz w:val="32"/>
          <w:szCs w:val="32"/>
          <w:lang w:bidi="ar-EG"/>
        </w:rPr>
        <w:t>Introduction</w:t>
      </w:r>
    </w:p>
    <w:p w:rsidR="00705DE1" w:rsidRDefault="00705DE1">
      <w:pPr>
        <w:spacing w:after="0" w:line="240" w:lineRule="auto"/>
        <w:rPr>
          <w:rFonts w:ascii="Times New Roman" w:hAnsi="Times New Roman" w:cs="Times New Roman"/>
          <w:b/>
          <w:bCs/>
          <w:color w:val="0D0D0D"/>
          <w:sz w:val="32"/>
          <w:szCs w:val="32"/>
          <w:lang w:bidi="ar-EG"/>
        </w:rPr>
      </w:pPr>
    </w:p>
    <w:p w:rsidR="00705DE1" w:rsidRDefault="00F828F2">
      <w:pPr>
        <w:spacing w:after="0" w:line="240" w:lineRule="auto"/>
        <w:jc w:val="both"/>
      </w:pPr>
      <w:r>
        <w:rPr>
          <w:rFonts w:ascii="Times New Roman" w:hAnsi="Times New Roman" w:cs="Times New Roman"/>
          <w:color w:val="0D0D0D"/>
          <w:sz w:val="28"/>
          <w:szCs w:val="28"/>
          <w:lang w:bidi="ar-EG"/>
        </w:rPr>
        <w:t xml:space="preserve">Detection and quantification of hepatic fibrosis represents a longstanding challenge in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  <w:lang w:bidi="ar-EG"/>
        </w:rPr>
        <w:t>Hepatology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  <w:lang w:bidi="ar-EG"/>
        </w:rPr>
        <w:t>. Hepatic macrophages play a central role in the pathogenesis of chronic liver injury, including inflammation and fibrosis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D0D0D"/>
          <w:sz w:val="28"/>
          <w:szCs w:val="28"/>
        </w:rPr>
        <w:t>Liv</w:t>
      </w:r>
      <w:r>
        <w:rPr>
          <w:rFonts w:ascii="Times New Roman" w:hAnsi="Times New Roman" w:cs="Times New Roman"/>
          <w:color w:val="0D0D0D"/>
          <w:sz w:val="28"/>
          <w:szCs w:val="28"/>
        </w:rPr>
        <w:t>er biopsy is an invasive procedure.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There are several non-invasive diagnostic methods for determining liver damage such as serum biomarkers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bidi="ar-EG"/>
        </w:rPr>
        <w:t xml:space="preserve"> as soluble CD163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imaging methods as Acoustic Radiation Force Imp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ulse </w:t>
      </w:r>
      <w:r>
        <w:rPr>
          <w:rFonts w:ascii="Times New Roman" w:hAnsi="Times New Roman" w:cs="Times New Roman"/>
          <w:sz w:val="28"/>
          <w:szCs w:val="28"/>
        </w:rPr>
        <w:t>(ARFI).</w:t>
      </w:r>
    </w:p>
    <w:p w:rsidR="00705DE1" w:rsidRDefault="00F828F2">
      <w:pPr>
        <w:spacing w:after="0" w:line="240" w:lineRule="auto"/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705DE1" w:rsidRDefault="00F828F2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Aim and Methods</w:t>
      </w:r>
      <w:r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</w:rPr>
        <w:t>:</w:t>
      </w:r>
    </w:p>
    <w:p w:rsidR="00705DE1" w:rsidRDefault="00705DE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32"/>
          <w:szCs w:val="32"/>
        </w:rPr>
      </w:pPr>
    </w:p>
    <w:p w:rsidR="00705DE1" w:rsidRDefault="00F828F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bidi="ar-EG"/>
        </w:rPr>
        <w:t xml:space="preserve">To study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bidi="ar-EG"/>
        </w:rPr>
        <w:t>hepatic stiffness using ARFI, then to correlate the degree of stiffness with the level of soluble CD 163 in chronic hepatitis C patients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705DE1" w:rsidRDefault="00705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705DE1" w:rsidRDefault="00F828F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Quantitative determination of serum levels of sCD163 in patients with CHC,</w:t>
      </w:r>
      <w:r>
        <w:rPr>
          <w:rFonts w:ascii="Times New Roman" w:eastAsia="Times New Roman" w:hAnsi="Times New Roman" w:cs="Times New Roman"/>
          <w:sz w:val="28"/>
          <w:szCs w:val="28"/>
          <w:lang w:eastAsia="zh-CN" w:bidi="ar-E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and healthy subjects was performed using c</w:t>
      </w:r>
      <w:r>
        <w:rPr>
          <w:rFonts w:ascii="Times New Roman" w:eastAsia="Times New Roman" w:hAnsi="Times New Roman" w:cs="Times New Roman"/>
          <w:sz w:val="28"/>
          <w:szCs w:val="28"/>
        </w:rPr>
        <w:t>ommercially available standard sandwich ELISA kit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SinoGeneClon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Biotech,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Hangzhou, China in 2007)</w:t>
      </w:r>
      <w:r>
        <w:rPr>
          <w:rFonts w:ascii="Times New Roman" w:eastAsia="Times New Roman" w:hAnsi="Times New Roman" w:cs="Times New Roman"/>
          <w:sz w:val="28"/>
          <w:szCs w:val="28"/>
          <w:lang w:eastAsia="zh-CN" w:bidi="ar-E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according to the manufacturer's instruction.</w:t>
      </w:r>
      <w:r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ARFI was performed to measure liver elasticity, using ACUSON S2000 (Siemens) ultrasound device. The relation </w:t>
      </w:r>
      <w:r>
        <w:rPr>
          <w:rFonts w:ascii="Times New Roman" w:eastAsia="Times New Roman" w:hAnsi="Times New Roman" w:cs="Times New Roman"/>
          <w:color w:val="0D0D0D"/>
          <w:sz w:val="28"/>
          <w:szCs w:val="28"/>
        </w:rPr>
        <w:t>between level of soluble CD163 and stage of liver fibrosis according ARFI was assessed.</w:t>
      </w:r>
    </w:p>
    <w:p w:rsidR="00705DE1" w:rsidRDefault="00705DE1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</w:p>
    <w:p w:rsidR="00705DE1" w:rsidRDefault="00F828F2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8"/>
          <w:lang w:bidi="ar-E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bidi="ar-EG"/>
        </w:rPr>
        <w:t>Results:</w:t>
      </w:r>
      <w:r>
        <w:rPr>
          <w:rFonts w:ascii="Times New Roman" w:eastAsia="Times New Roman" w:hAnsi="Times New Roman" w:cs="Times New Roman"/>
          <w:sz w:val="32"/>
          <w:szCs w:val="32"/>
          <w:lang w:bidi="ar-EG"/>
        </w:rPr>
        <w:t xml:space="preserve"> </w:t>
      </w:r>
    </w:p>
    <w:p w:rsidR="00705DE1" w:rsidRDefault="00705D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ar-EG"/>
        </w:rPr>
      </w:pPr>
    </w:p>
    <w:p w:rsidR="00705DE1" w:rsidRDefault="00F828F2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A total of 52 Egyptian patients with CHC were enrolled and 20 healthy subjects</w:t>
      </w:r>
      <w:r>
        <w:rPr>
          <w:rFonts w:ascii="Times New Roman" w:eastAsia="Times New Roman" w:hAnsi="Times New Roman" w:cs="Times New Roman"/>
          <w:sz w:val="28"/>
          <w:szCs w:val="28"/>
        </w:rPr>
        <w:t>. In patients with CHC, twenty-five percent of patients were males and 27 % w</w:t>
      </w:r>
      <w:r>
        <w:rPr>
          <w:rFonts w:ascii="Times New Roman" w:eastAsia="Times New Roman" w:hAnsi="Times New Roman" w:cs="Times New Roman"/>
          <w:sz w:val="28"/>
          <w:szCs w:val="28"/>
        </w:rPr>
        <w:t>ere females. In healthy subjects, 5% males and 15% females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In patients with CHC, Possible risk factors for HCV infection were history of previous surgery in 10 (19.2%) patients, health care workers in 7 (13.5%) patients, familial contact in 6 (11.5%) pati</w:t>
      </w:r>
      <w:r>
        <w:rPr>
          <w:rFonts w:ascii="Times New Roman" w:eastAsia="Times New Roman" w:hAnsi="Times New Roman" w:cs="Times New Roman"/>
          <w:sz w:val="28"/>
          <w:szCs w:val="28"/>
        </w:rPr>
        <w:t>ents, dental treatment in 4 (7.7%) patients and undefined in 21patients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. The serum soluble CD163 levels ranged between 13.50 – 85.0 u/ml in patients with CHC and 6.0 – 13.0 u/ml in healthy subjects. The mean serum soluble CD163 levels showed significant in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creases in patients with CHC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compared with healthy subjects (22.87 ± 10.46u/ml and 9.10 ± 1.84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u/ml 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respectively,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EG"/>
        </w:rPr>
        <w:t xml:space="preserve"> P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 xml:space="preserve"> &lt;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 xml:space="preserve"> 0.001). The role of the soluble CD163 in the liver fibrosis progression, as assessed by ARFI, 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lastRenderedPageBreak/>
        <w:t>CHC patients were stratified according to the stage of liver fibrosis in mild fibrosis (F0-F1), significant fibrosis (F2-F3) and Cirrhosis (F4). Soluble CD163 le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vels were higher in all groups when compared to healthy subjects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EG"/>
        </w:rPr>
        <w:t xml:space="preserve">P 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&lt; 0.0001 F0-F1, F2-F3 and F4 vs. healthy subjects), but no difference were found among mild and significant fibrosis and cirrhosis groups.</w:t>
      </w:r>
    </w:p>
    <w:p w:rsidR="00705DE1" w:rsidRDefault="00705DE1">
      <w:pPr>
        <w:spacing w:after="0" w:line="240" w:lineRule="auto"/>
        <w:jc w:val="both"/>
      </w:pPr>
    </w:p>
    <w:p w:rsidR="00705DE1" w:rsidRDefault="00F828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Conclusion:</w:t>
      </w:r>
    </w:p>
    <w:p w:rsidR="00705DE1" w:rsidRDefault="00705D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05DE1" w:rsidRDefault="00F828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EG"/>
        </w:rPr>
      </w:pP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The current study showed that regar</w:t>
      </w: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dless liver fibrosis stage, significantly higher levels of soluble CD163 were found in CHC patients than healthy subjects.</w:t>
      </w:r>
    </w:p>
    <w:p w:rsidR="00705DE1" w:rsidRDefault="00705DE1">
      <w:pPr>
        <w:rPr>
          <w:b/>
          <w:bCs/>
          <w:sz w:val="32"/>
          <w:szCs w:val="32"/>
        </w:rPr>
      </w:pPr>
    </w:p>
    <w:sectPr w:rsidR="00705DE1" w:rsidSect="00705DE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8F2" w:rsidRDefault="00F828F2" w:rsidP="00705DE1">
      <w:pPr>
        <w:spacing w:after="0" w:line="240" w:lineRule="auto"/>
      </w:pPr>
      <w:r>
        <w:separator/>
      </w:r>
    </w:p>
  </w:endnote>
  <w:endnote w:type="continuationSeparator" w:id="0">
    <w:p w:rsidR="00F828F2" w:rsidRDefault="00F828F2" w:rsidP="00705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8F2" w:rsidRDefault="00F828F2" w:rsidP="00705DE1">
      <w:pPr>
        <w:spacing w:after="0" w:line="240" w:lineRule="auto"/>
      </w:pPr>
      <w:r w:rsidRPr="00705DE1">
        <w:rPr>
          <w:color w:val="000000"/>
        </w:rPr>
        <w:separator/>
      </w:r>
    </w:p>
  </w:footnote>
  <w:footnote w:type="continuationSeparator" w:id="0">
    <w:p w:rsidR="00F828F2" w:rsidRDefault="00F828F2" w:rsidP="00705D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DE1"/>
    <w:rsid w:val="00705DE1"/>
    <w:rsid w:val="009538AD"/>
    <w:rsid w:val="00F82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05DE1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705DE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2316</Characters>
  <Application>Microsoft Office Word</Application>
  <DocSecurity>0</DocSecurity>
  <Lines>19</Lines>
  <Paragraphs>5</Paragraphs>
  <ScaleCrop>false</ScaleCrop>
  <Company>Grizli777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DR-Hussien Mahmoud</dc:creator>
  <cp:lastModifiedBy>FreeComp</cp:lastModifiedBy>
  <cp:revision>2</cp:revision>
  <dcterms:created xsi:type="dcterms:W3CDTF">2018-02-13T18:19:00Z</dcterms:created>
  <dcterms:modified xsi:type="dcterms:W3CDTF">2018-02-13T18:19:00Z</dcterms:modified>
</cp:coreProperties>
</file>