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DB0CBE" w14:textId="77777777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32"/>
          <w:szCs w:val="21"/>
          <w:lang w:val="it-IT"/>
        </w:rPr>
      </w:pPr>
      <w:bookmarkStart w:id="0" w:name="_Hlk485910849"/>
      <w:bookmarkEnd w:id="0"/>
      <w:r w:rsidRPr="00861FA6">
        <w:rPr>
          <w:rFonts w:ascii="Times New Roman" w:hAnsi="Times New Roman"/>
          <w:color w:val="23272B"/>
          <w:sz w:val="32"/>
          <w:szCs w:val="21"/>
          <w:lang w:val="it-IT"/>
        </w:rPr>
        <w:t xml:space="preserve">Percutaneous Electrochemotherapy of </w:t>
      </w:r>
    </w:p>
    <w:p w14:paraId="2F4BCAA4" w14:textId="4684B861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21"/>
          <w:szCs w:val="21"/>
          <w:lang w:val="it-IT"/>
        </w:rPr>
      </w:pPr>
      <w:bookmarkStart w:id="1" w:name="_GoBack"/>
      <w:bookmarkEnd w:id="1"/>
      <w:r w:rsidRPr="00861FA6">
        <w:rPr>
          <w:rFonts w:ascii="Times New Roman" w:hAnsi="Times New Roman"/>
          <w:color w:val="23272B"/>
          <w:sz w:val="32"/>
          <w:szCs w:val="21"/>
          <w:lang w:val="it-IT"/>
        </w:rPr>
        <w:t>Hepatocellular Carcinoma at Hepatic hilum</w:t>
      </w:r>
    </w:p>
    <w:p w14:paraId="09A9B98B" w14:textId="77777777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21"/>
          <w:szCs w:val="21"/>
          <w:lang w:val="it-IT"/>
        </w:rPr>
      </w:pPr>
      <w:r>
        <w:rPr>
          <w:rFonts w:ascii="Times New Roman" w:hAnsi="Times New Roman"/>
          <w:color w:val="23272B"/>
          <w:sz w:val="21"/>
          <w:szCs w:val="21"/>
          <w:lang w:val="it-IT"/>
        </w:rPr>
        <w:t>Authors: L. Tarantino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1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A. Nasto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1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G. Busto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2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S. Bortone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3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R. Fristachi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4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R.A. Nasto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1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P.</w:t>
      </w:r>
    </w:p>
    <w:p w14:paraId="4F3FB34E" w14:textId="77777777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21"/>
          <w:szCs w:val="21"/>
          <w:lang w:val="it-IT"/>
        </w:rPr>
      </w:pPr>
      <w:r>
        <w:rPr>
          <w:rFonts w:ascii="Times New Roman" w:hAnsi="Times New Roman"/>
          <w:color w:val="23272B"/>
          <w:sz w:val="21"/>
          <w:szCs w:val="21"/>
          <w:lang w:val="it-IT"/>
        </w:rPr>
        <w:t>Tarantino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2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L. Cacace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4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, M.R. Romano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5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 xml:space="preserve">; 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1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Cancer Surgery, A.Tortora Cancer Hospital,</w:t>
      </w:r>
    </w:p>
    <w:p w14:paraId="59CE9ED0" w14:textId="77777777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21"/>
          <w:szCs w:val="21"/>
          <w:lang w:val="it-IT"/>
        </w:rPr>
      </w:pPr>
      <w:r>
        <w:rPr>
          <w:rFonts w:ascii="Times New Roman" w:hAnsi="Times New Roman"/>
          <w:color w:val="23272B"/>
          <w:sz w:val="21"/>
          <w:szCs w:val="21"/>
          <w:lang w:val="it-IT"/>
        </w:rPr>
        <w:t xml:space="preserve">Pagani (sa), IT, 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2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 xml:space="preserve">Oncology, A.Tortora Cancer Hospital, Pagani (sa), IT, 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3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Radiology,</w:t>
      </w:r>
    </w:p>
    <w:p w14:paraId="66AF657B" w14:textId="77777777" w:rsidR="00861FA6" w:rsidRDefault="00861FA6" w:rsidP="0086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72B"/>
          <w:sz w:val="21"/>
          <w:szCs w:val="21"/>
          <w:lang w:val="it-IT"/>
        </w:rPr>
      </w:pPr>
      <w:r>
        <w:rPr>
          <w:rFonts w:ascii="Times New Roman" w:hAnsi="Times New Roman"/>
          <w:color w:val="23272B"/>
          <w:sz w:val="21"/>
          <w:szCs w:val="21"/>
          <w:lang w:val="it-IT"/>
        </w:rPr>
        <w:t xml:space="preserve">A.Tortora Cancer Hospital, Pagani (sa), IT, 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4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Anatomopathology, A.Tortora Cancer</w:t>
      </w:r>
    </w:p>
    <w:p w14:paraId="7439BCB9" w14:textId="71D50A4E" w:rsidR="00911A8B" w:rsidRDefault="00861FA6" w:rsidP="00861FA6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Times New Roman" w:hAnsi="Times New Roman"/>
          <w:color w:val="23272B"/>
          <w:sz w:val="21"/>
          <w:szCs w:val="21"/>
          <w:lang w:val="it-IT"/>
        </w:rPr>
        <w:t xml:space="preserve">Hospital, Pagani (sa), IT, </w:t>
      </w:r>
      <w:r>
        <w:rPr>
          <w:rFonts w:ascii="Times New Roman" w:hAnsi="Times New Roman"/>
          <w:color w:val="23272B"/>
          <w:sz w:val="18"/>
          <w:szCs w:val="18"/>
          <w:lang w:val="it-IT"/>
        </w:rPr>
        <w:t>5</w:t>
      </w:r>
      <w:r>
        <w:rPr>
          <w:rFonts w:ascii="Times New Roman" w:hAnsi="Times New Roman"/>
          <w:color w:val="23272B"/>
          <w:sz w:val="21"/>
          <w:szCs w:val="21"/>
          <w:lang w:val="it-IT"/>
        </w:rPr>
        <w:t>Anesthesiology, A.Tortora Cancer Hospital, Pagani (sa), IT</w:t>
      </w:r>
    </w:p>
    <w:p w14:paraId="6609F094" w14:textId="77777777" w:rsidR="00911A8B" w:rsidRPr="00F52C62" w:rsidRDefault="00911A8B" w:rsidP="00911A8B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  <w:sz w:val="24"/>
          <w:szCs w:val="24"/>
        </w:rPr>
      </w:pPr>
      <w:r w:rsidRPr="00F52C62">
        <w:rPr>
          <w:rFonts w:ascii="Arial" w:hAnsi="Arial" w:cs="Arial"/>
          <w:b/>
          <w:sz w:val="24"/>
          <w:szCs w:val="24"/>
          <w:lang w:val="en-US"/>
        </w:rPr>
        <w:t>Background and Aims:</w:t>
      </w:r>
      <w:r w:rsidRPr="00F52C62">
        <w:rPr>
          <w:rFonts w:ascii="Arial" w:hAnsi="Arial" w:cs="Arial"/>
          <w:color w:val="23272B"/>
          <w:sz w:val="24"/>
          <w:szCs w:val="24"/>
        </w:rPr>
        <w:t xml:space="preserve"> </w:t>
      </w:r>
      <w:r w:rsidR="00F52C62" w:rsidRPr="00F52C62">
        <w:rPr>
          <w:rFonts w:ascii="Arial" w:hAnsi="Arial" w:cs="Arial"/>
          <w:color w:val="23272B"/>
          <w:sz w:val="24"/>
          <w:szCs w:val="24"/>
        </w:rPr>
        <w:t xml:space="preserve">Thermal Ablation of Hepatocellular Carcinoma infiltrating the hepatic hilum (hh-HCC) is </w:t>
      </w:r>
      <w:r w:rsidR="00F52C62" w:rsidRPr="00F52C62">
        <w:rPr>
          <w:rFonts w:ascii="Arial" w:hAnsi="Arial" w:cs="Arial"/>
          <w:sz w:val="24"/>
          <w:szCs w:val="24"/>
        </w:rPr>
        <w:t>contraindicated because of possible severe t</w:t>
      </w:r>
      <w:r w:rsidR="00F52C62" w:rsidRPr="00F52C62">
        <w:rPr>
          <w:rFonts w:ascii="Arial" w:hAnsi="Arial" w:cs="Arial"/>
          <w:sz w:val="24"/>
          <w:szCs w:val="24"/>
          <w:u w:color="262626"/>
        </w:rPr>
        <w:t xml:space="preserve">hermal injury of main bile ducts, hepatic hilum vessels or duodenum . </w:t>
      </w:r>
      <w:r w:rsidRPr="00F52C62">
        <w:rPr>
          <w:rFonts w:ascii="Arial" w:hAnsi="Arial" w:cs="Arial"/>
          <w:color w:val="23272B"/>
          <w:sz w:val="24"/>
          <w:szCs w:val="24"/>
        </w:rPr>
        <w:t xml:space="preserve">We evaluated the feasibility, efficacy and safety of Electrochemotherapy (ECT), a non-thermal  ablation technique, in a series of patients with </w:t>
      </w:r>
      <w:r w:rsidR="00F52C62" w:rsidRPr="00F52C62">
        <w:rPr>
          <w:rFonts w:ascii="Arial" w:hAnsi="Arial" w:cs="Arial"/>
          <w:color w:val="23272B"/>
          <w:sz w:val="24"/>
          <w:szCs w:val="24"/>
        </w:rPr>
        <w:t xml:space="preserve">hh-HCC. </w:t>
      </w:r>
    </w:p>
    <w:p w14:paraId="265F42D9" w14:textId="77777777" w:rsidR="00911A8B" w:rsidRPr="00F52C62" w:rsidRDefault="00911A8B" w:rsidP="00911A8B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F52C62">
        <w:rPr>
          <w:rFonts w:ascii="Arial" w:hAnsi="Arial" w:cs="Arial"/>
          <w:b/>
          <w:sz w:val="24"/>
          <w:szCs w:val="24"/>
          <w:lang w:val="en-US"/>
        </w:rPr>
        <w:t>Method:</w:t>
      </w:r>
      <w:r w:rsidRPr="00F52C62">
        <w:rPr>
          <w:rFonts w:ascii="Arial" w:hAnsi="Arial" w:cs="Arial"/>
          <w:sz w:val="24"/>
          <w:szCs w:val="24"/>
          <w:lang w:val="en-US"/>
        </w:rPr>
        <w:t xml:space="preserve"> </w:t>
      </w:r>
      <w:r w:rsidRPr="00F52C62">
        <w:rPr>
          <w:rFonts w:ascii="Arial" w:hAnsi="Arial" w:cs="Arial"/>
          <w:color w:val="23272B"/>
          <w:sz w:val="24"/>
          <w:szCs w:val="24"/>
        </w:rPr>
        <w:t xml:space="preserve">15 patients (13M,2F; 43-85 year, mean: 61 year), 11 in Child-Pugh-A, 4 in Child-Pugh- B-class, with biopsy proven hh-HCC (diameter range: 2.5-5.5 cm; mean: 3.6 cm) underwent ECT. </w:t>
      </w:r>
      <w:r w:rsidRPr="00F52C62">
        <w:rPr>
          <w:rFonts w:ascii="Arial" w:hAnsi="Arial" w:cs="Arial"/>
          <w:bCs/>
          <w:sz w:val="24"/>
          <w:szCs w:val="24"/>
        </w:rPr>
        <w:t xml:space="preserve">Four to six electrode-needles </w:t>
      </w:r>
      <w:r w:rsidR="00BE45C2" w:rsidRPr="00F52C62">
        <w:rPr>
          <w:rFonts w:ascii="Arial" w:hAnsi="Arial" w:cs="Arial"/>
          <w:bCs/>
          <w:sz w:val="24"/>
          <w:szCs w:val="24"/>
        </w:rPr>
        <w:t>connected to Cliniporator Vitae</w:t>
      </w:r>
      <w:r w:rsidR="00BE45C2" w:rsidRPr="00F52C62">
        <w:rPr>
          <w:rFonts w:ascii="Arial" w:hAnsi="Arial" w:cs="Arial"/>
          <w:bCs/>
          <w:sz w:val="24"/>
          <w:szCs w:val="24"/>
          <w:vertAlign w:val="superscript"/>
        </w:rPr>
        <w:t>®</w:t>
      </w:r>
      <w:r w:rsidR="00BE45C2" w:rsidRPr="00F52C62">
        <w:rPr>
          <w:rFonts w:ascii="Arial" w:hAnsi="Arial" w:cs="Arial"/>
          <w:bCs/>
          <w:sz w:val="24"/>
          <w:szCs w:val="24"/>
        </w:rPr>
        <w:t xml:space="preserve"> (IGEA SpA, Carpi, Modena, Italy), a pulse generator with 6 independently controlled and electrically isolated outputs, each providing up to 3000 Volts, </w:t>
      </w:r>
      <w:r w:rsidRPr="00F52C62">
        <w:rPr>
          <w:rFonts w:ascii="Arial" w:hAnsi="Arial" w:cs="Arial"/>
          <w:bCs/>
          <w:sz w:val="24"/>
          <w:szCs w:val="24"/>
        </w:rPr>
        <w:t xml:space="preserve">were inserted percutaneously </w:t>
      </w:r>
      <w:r w:rsidR="00BE45C2" w:rsidRPr="00F52C62">
        <w:rPr>
          <w:rFonts w:ascii="Arial" w:hAnsi="Arial" w:cs="Arial"/>
          <w:bCs/>
          <w:sz w:val="24"/>
          <w:szCs w:val="24"/>
        </w:rPr>
        <w:t xml:space="preserve">under US guidance </w:t>
      </w:r>
      <w:r w:rsidRPr="00F52C62">
        <w:rPr>
          <w:rFonts w:ascii="Arial" w:hAnsi="Arial" w:cs="Arial"/>
          <w:bCs/>
          <w:sz w:val="24"/>
          <w:szCs w:val="24"/>
        </w:rPr>
        <w:t>a</w:t>
      </w:r>
      <w:r w:rsidR="00BE45C2" w:rsidRPr="00F52C62">
        <w:rPr>
          <w:rFonts w:ascii="Arial" w:hAnsi="Arial" w:cs="Arial"/>
          <w:bCs/>
          <w:sz w:val="24"/>
          <w:szCs w:val="24"/>
        </w:rPr>
        <w:t xml:space="preserve">long the external margin of hh-HCC . </w:t>
      </w:r>
      <w:r w:rsidRPr="00F52C62">
        <w:rPr>
          <w:rFonts w:ascii="Arial" w:hAnsi="Arial" w:cs="Arial"/>
          <w:bCs/>
          <w:sz w:val="24"/>
          <w:szCs w:val="24"/>
        </w:rPr>
        <w:t>Eight minutes after intravenous bolus injection (15000 IU/m</w:t>
      </w:r>
      <w:r w:rsidRPr="00F52C62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F52C62">
        <w:rPr>
          <w:rFonts w:ascii="Arial" w:hAnsi="Arial" w:cs="Arial"/>
          <w:bCs/>
          <w:sz w:val="24"/>
          <w:szCs w:val="24"/>
        </w:rPr>
        <w:t>) of Bleomycine sulfate (Bleoprim</w:t>
      </w:r>
      <w:r w:rsidRPr="00F52C62">
        <w:rPr>
          <w:rFonts w:ascii="Arial" w:hAnsi="Arial" w:cs="Arial"/>
          <w:bCs/>
          <w:sz w:val="24"/>
          <w:szCs w:val="24"/>
          <w:vertAlign w:val="superscript"/>
        </w:rPr>
        <w:t>®</w:t>
      </w:r>
      <w:r w:rsidRPr="00F52C62">
        <w:rPr>
          <w:rFonts w:ascii="Arial" w:hAnsi="Arial" w:cs="Arial"/>
          <w:bCs/>
          <w:sz w:val="24"/>
          <w:szCs w:val="24"/>
        </w:rPr>
        <w:t xml:space="preserve">, Sanofi Aventis, Paris, France), electric pulses were delivered. </w:t>
      </w:r>
      <w:r w:rsidRPr="00F52C62">
        <w:rPr>
          <w:rFonts w:ascii="Arial" w:hAnsi="Arial" w:cs="Arial"/>
          <w:color w:val="23272B"/>
          <w:sz w:val="24"/>
          <w:szCs w:val="24"/>
        </w:rPr>
        <w:t>9 patients had complete or partial portal vein tumor thrombosis (PVTT), 6 patients had a hh-HCC next to main portal vein bifurcation. . All patients underwent control of the efficacy by contrast-enhanced-MDCT 4 weeks after treatment and follow-up CT controls every 6 months thereafter.</w:t>
      </w:r>
    </w:p>
    <w:p w14:paraId="2F943395" w14:textId="77777777" w:rsidR="00911A8B" w:rsidRPr="00F52C62" w:rsidRDefault="00911A8B" w:rsidP="00911A8B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  <w:sz w:val="24"/>
          <w:szCs w:val="24"/>
        </w:rPr>
      </w:pPr>
      <w:r w:rsidRPr="00F52C62">
        <w:rPr>
          <w:rFonts w:ascii="Arial" w:hAnsi="Arial" w:cs="Arial"/>
          <w:b/>
          <w:sz w:val="24"/>
          <w:szCs w:val="24"/>
          <w:lang w:val="en-US"/>
        </w:rPr>
        <w:t>Results:</w:t>
      </w:r>
      <w:r w:rsidRPr="00F52C62">
        <w:rPr>
          <w:rFonts w:ascii="Arial" w:hAnsi="Arial" w:cs="Arial"/>
          <w:sz w:val="24"/>
          <w:szCs w:val="24"/>
          <w:lang w:val="en-US"/>
        </w:rPr>
        <w:t xml:space="preserve">  </w:t>
      </w:r>
      <w:r w:rsidRPr="00F52C62">
        <w:rPr>
          <w:rFonts w:ascii="Arial" w:hAnsi="Arial" w:cs="Arial"/>
          <w:color w:val="23272B"/>
          <w:sz w:val="24"/>
          <w:szCs w:val="24"/>
        </w:rPr>
        <w:t xml:space="preserve">No perioperative major complication occurred. 2/15 (13%) patients died because of  hemorrhage from GEV at 4 and 5 weeks after treatment. Post-treatment CT showed complete absence of enhancement of the treated nodule and/or PVTT in 11/13(85%) and partial necrosis in 2/13(15%) cases. The follow-up ranged from 15 to 36 months (median: 14 months). Follow-up-CT showed local progression of the tumor in the 2 cases of partial response. 4 patients dropped-out the follow-up at 6, 9, 10 and 12 months because of death from liver failure in 3 and hemorrhage from gastroaesophageal varices in 1 case, respectively. In these 4 patients, 6-months-CT confirmed complete necrosis and absence of local recurrence. In the other 7 patients, no local recurrence was detected at CT during follow-up. During follow-up, intrahepatic recurrences in other segments were detected in 4/13 (31%)patients. </w:t>
      </w:r>
    </w:p>
    <w:p w14:paraId="638BB02C" w14:textId="77777777" w:rsidR="00911A8B" w:rsidRPr="00F52C62" w:rsidRDefault="00911A8B" w:rsidP="00911A8B">
      <w:pPr>
        <w:rPr>
          <w:rFonts w:ascii="Arial" w:hAnsi="Arial" w:cs="Arial"/>
          <w:sz w:val="24"/>
          <w:szCs w:val="24"/>
        </w:rPr>
      </w:pPr>
      <w:r w:rsidRPr="00F52C62">
        <w:rPr>
          <w:rFonts w:ascii="Arial" w:hAnsi="Arial" w:cs="Arial"/>
          <w:b/>
          <w:sz w:val="24"/>
          <w:szCs w:val="24"/>
          <w:lang w:val="en-US"/>
        </w:rPr>
        <w:t>Conclusion:</w:t>
      </w:r>
      <w:r w:rsidRPr="00F52C62">
        <w:rPr>
          <w:rFonts w:ascii="Arial" w:hAnsi="Arial" w:cs="Arial"/>
          <w:sz w:val="24"/>
          <w:szCs w:val="24"/>
          <w:lang w:val="en-US"/>
        </w:rPr>
        <w:t xml:space="preserve"> </w:t>
      </w:r>
      <w:r w:rsidRPr="00F52C62">
        <w:rPr>
          <w:rFonts w:ascii="Arial" w:hAnsi="Arial" w:cs="Arial"/>
          <w:color w:val="23272B"/>
          <w:sz w:val="24"/>
          <w:szCs w:val="24"/>
        </w:rPr>
        <w:t>ECT seems to be a feasible, safe and effective treatment for local control of hh-HCC. Because of a relative high risk (13%) of late post-operative hemorrage from GEV, patients with at-risk for bleeding varices should be excluded.</w:t>
      </w:r>
    </w:p>
    <w:p w14:paraId="00F2680C" w14:textId="77777777" w:rsidR="00911A8B" w:rsidRPr="00D46C36" w:rsidRDefault="00911A8B" w:rsidP="00911A8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</w:p>
    <w:p w14:paraId="6E8E4296" w14:textId="77777777" w:rsidR="00911A8B" w:rsidRPr="00D46C36" w:rsidRDefault="00911A8B">
      <w:pPr>
        <w:rPr>
          <w:rFonts w:ascii="Arial" w:hAnsi="Arial" w:cs="Arial"/>
          <w:sz w:val="20"/>
          <w:szCs w:val="20"/>
          <w:lang w:val="en-US"/>
        </w:rPr>
      </w:pPr>
    </w:p>
    <w:p w14:paraId="629D7777" w14:textId="77777777" w:rsidR="00911A8B" w:rsidRPr="00D46C36" w:rsidRDefault="00911A8B" w:rsidP="00911A8B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lastRenderedPageBreak/>
        <w:t>Figure</w:t>
      </w:r>
      <w:r w:rsidRPr="00D46C36">
        <w:rPr>
          <w:rFonts w:ascii="Arial" w:hAnsi="Arial" w:cs="Arial"/>
          <w:b/>
          <w:sz w:val="20"/>
          <w:szCs w:val="20"/>
          <w:lang w:val="en-US"/>
        </w:rPr>
        <w:t>:</w:t>
      </w:r>
      <w:r w:rsidRPr="00D46C36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DFD0917" w14:textId="77777777" w:rsidR="00911A8B" w:rsidRPr="00D46C36" w:rsidRDefault="00911A8B">
      <w:pPr>
        <w:rPr>
          <w:rFonts w:ascii="Arial" w:hAnsi="Arial" w:cs="Arial"/>
          <w:sz w:val="20"/>
          <w:szCs w:val="20"/>
          <w:lang w:val="en-US"/>
        </w:rPr>
      </w:pPr>
    </w:p>
    <w:sectPr w:rsidR="00911A8B" w:rsidRPr="00D46C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87CD3" w14:textId="77777777" w:rsidR="00911A8B" w:rsidRDefault="00911A8B">
      <w:pPr>
        <w:spacing w:after="0" w:line="240" w:lineRule="auto"/>
      </w:pPr>
      <w:r>
        <w:separator/>
      </w:r>
    </w:p>
  </w:endnote>
  <w:endnote w:type="continuationSeparator" w:id="0">
    <w:p w14:paraId="20E56C6B" w14:textId="77777777" w:rsidR="00911A8B" w:rsidRDefault="0091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9FA9E" w14:textId="77777777" w:rsidR="00911A8B" w:rsidRDefault="00911A8B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D7FA7" w14:textId="77777777" w:rsidR="00911A8B" w:rsidRDefault="00911A8B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D4A8A" w14:textId="77777777" w:rsidR="00911A8B" w:rsidRDefault="00911A8B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5290AB" w14:textId="77777777" w:rsidR="00911A8B" w:rsidRDefault="00911A8B">
      <w:pPr>
        <w:spacing w:after="0" w:line="240" w:lineRule="auto"/>
      </w:pPr>
      <w:r>
        <w:separator/>
      </w:r>
    </w:p>
  </w:footnote>
  <w:footnote w:type="continuationSeparator" w:id="0">
    <w:p w14:paraId="0D3B91FA" w14:textId="77777777" w:rsidR="00911A8B" w:rsidRDefault="00911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6BC71" w14:textId="77777777" w:rsidR="00911A8B" w:rsidRDefault="00911A8B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8C519" w14:textId="77777777" w:rsidR="00911A8B" w:rsidRDefault="00911A8B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F3125" w14:textId="77777777" w:rsidR="00911A8B" w:rsidRDefault="00911A8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attachedTemplate r:id="rId1"/>
  <w:stylePaneSortMethod w:val="00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8B"/>
    <w:rsid w:val="00861FA6"/>
    <w:rsid w:val="00911A8B"/>
    <w:rsid w:val="00BE45C2"/>
    <w:rsid w:val="00F5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D898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46C36"/>
    <w:rPr>
      <w:sz w:val="22"/>
      <w:szCs w:val="22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46C36"/>
    <w:rPr>
      <w:sz w:val="22"/>
      <w:szCs w:val="22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D46C36"/>
    <w:rPr>
      <w:sz w:val="22"/>
      <w:szCs w:val="22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D46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D46C36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392A45-10AA-49CA-AE89-CACDCBF951F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\Users\swoehrle\Downloads\abstract template.dot</Template>
  <TotalTime>8</TotalTime>
  <Pages>2</Pages>
  <Words>441</Words>
  <Characters>2517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Luciano Tarantino</cp:lastModifiedBy>
  <cp:revision>4</cp:revision>
  <cp:lastPrinted>1900-12-31T23:00:00Z</cp:lastPrinted>
  <dcterms:created xsi:type="dcterms:W3CDTF">2017-12-03T17:34:00Z</dcterms:created>
  <dcterms:modified xsi:type="dcterms:W3CDTF">2017-12-03T21:29:00Z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b4edacad-6409-4517-8f78-7fd55f73147b</vt:lpwstr>
  </property>
</Properties>
</file>