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E5FFFE" w14:textId="77777777" w:rsidR="00AE3E37" w:rsidRDefault="00475921" w:rsidP="00494130">
      <w:pPr>
        <w:pStyle w:val="Heading1"/>
        <w:spacing w:before="170"/>
        <w:ind w:left="0"/>
      </w:pPr>
      <w:r>
        <w:rPr>
          <w:color w:val="337AB7"/>
        </w:rPr>
        <w:t>What are we learning about aortic valve leaflets</w:t>
      </w:r>
      <w:proofErr w:type="gramStart"/>
      <w:r>
        <w:rPr>
          <w:color w:val="337AB7"/>
        </w:rPr>
        <w:t>?:</w:t>
      </w:r>
      <w:proofErr w:type="gramEnd"/>
      <w:r>
        <w:rPr>
          <w:color w:val="337AB7"/>
        </w:rPr>
        <w:t xml:space="preserve"> Materials to better understand and treat disease</w:t>
      </w:r>
    </w:p>
    <w:p w14:paraId="149AA132" w14:textId="77777777" w:rsidR="00AE3E37" w:rsidRDefault="00475921">
      <w:pPr>
        <w:pStyle w:val="BodyText"/>
        <w:rPr>
          <w:rFonts w:ascii="Arial"/>
          <w:sz w:val="20"/>
        </w:rPr>
      </w:pPr>
      <w:r>
        <w:rPr>
          <w:rFonts w:ascii="Arial"/>
          <w:sz w:val="20"/>
        </w:rPr>
        <w:t>Mark W. Tibbitt</w:t>
      </w:r>
      <w:r w:rsidR="002E63DB">
        <w:rPr>
          <w:rFonts w:ascii="Arial"/>
          <w:sz w:val="20"/>
        </w:rPr>
        <w:t xml:space="preserve">, </w:t>
      </w:r>
      <w:r>
        <w:rPr>
          <w:rFonts w:ascii="Arial"/>
          <w:sz w:val="20"/>
        </w:rPr>
        <w:t>Macromolecular Engineering Laboratory, Department of Mechanical and Process Engineering</w:t>
      </w:r>
      <w:r w:rsidR="002E63DB">
        <w:rPr>
          <w:rFonts w:ascii="Arial"/>
          <w:sz w:val="20"/>
        </w:rPr>
        <w:t xml:space="preserve">, </w:t>
      </w:r>
      <w:r>
        <w:rPr>
          <w:rFonts w:ascii="Arial"/>
          <w:sz w:val="20"/>
        </w:rPr>
        <w:t>ETH Z</w:t>
      </w:r>
      <w:r>
        <w:rPr>
          <w:rFonts w:ascii="Arial"/>
          <w:sz w:val="20"/>
        </w:rPr>
        <w:t>ü</w:t>
      </w:r>
      <w:r>
        <w:rPr>
          <w:rFonts w:ascii="Arial"/>
          <w:sz w:val="20"/>
        </w:rPr>
        <w:t>rich</w:t>
      </w:r>
      <w:r w:rsidR="002E63DB">
        <w:rPr>
          <w:rFonts w:ascii="Arial"/>
          <w:sz w:val="20"/>
        </w:rPr>
        <w:t xml:space="preserve">, </w:t>
      </w:r>
      <w:r>
        <w:rPr>
          <w:rFonts w:ascii="Arial"/>
          <w:sz w:val="20"/>
        </w:rPr>
        <w:t>8092 Z</w:t>
      </w:r>
      <w:r>
        <w:rPr>
          <w:rFonts w:ascii="Arial"/>
          <w:sz w:val="20"/>
        </w:rPr>
        <w:t>ü</w:t>
      </w:r>
      <w:r>
        <w:rPr>
          <w:rFonts w:ascii="Arial"/>
          <w:sz w:val="20"/>
        </w:rPr>
        <w:t>rich, CH</w:t>
      </w:r>
      <w:bookmarkStart w:id="0" w:name="_GoBack"/>
      <w:bookmarkEnd w:id="0"/>
    </w:p>
    <w:p w14:paraId="0B26C0A0" w14:textId="77777777" w:rsidR="00AE3E37" w:rsidRDefault="00AE3E37">
      <w:pPr>
        <w:pStyle w:val="BodyText"/>
        <w:spacing w:before="3"/>
        <w:rPr>
          <w:rFonts w:ascii="Arial"/>
          <w:sz w:val="21"/>
        </w:rPr>
      </w:pPr>
    </w:p>
    <w:p w14:paraId="68B87C36"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08820567"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F15F577" w14:textId="77777777" w:rsidR="007B5A5A" w:rsidRPr="007B5A5A" w:rsidRDefault="00311992" w:rsidP="007B5A5A">
      <w:pPr>
        <w:pStyle w:val="ZingAbstractText"/>
        <w:ind w:left="90"/>
        <w:rPr>
          <w:rFonts w:ascii="Tw Cen MT" w:hAnsi="Tw Cen MT"/>
          <w:sz w:val="18"/>
          <w:szCs w:val="18"/>
        </w:rPr>
      </w:pPr>
      <w:r w:rsidRPr="007B5A5A">
        <w:rPr>
          <w:rFonts w:ascii="Tw Cen MT" w:hAnsi="Tw Cen MT"/>
          <w:sz w:val="18"/>
          <w:szCs w:val="18"/>
        </w:rPr>
        <w:t xml:space="preserve">The aortic valve is no longer thought of as a passive entity but is now understood to be a biologically complex and active tissue throughout homeostasis and disease. The field is turning to sophisticated materials to further our understanding of aortic valve disease progression and to treat valve disorders. In this vein, this talk will highlight emerging materials for </w:t>
      </w:r>
      <w:r w:rsidRPr="007B5A5A">
        <w:rPr>
          <w:rFonts w:ascii="Tw Cen MT" w:hAnsi="Tw Cen MT"/>
          <w:i/>
          <w:sz w:val="18"/>
          <w:szCs w:val="18"/>
        </w:rPr>
        <w:t>in vitro</w:t>
      </w:r>
      <w:r w:rsidRPr="007B5A5A">
        <w:rPr>
          <w:rFonts w:ascii="Tw Cen MT" w:hAnsi="Tw Cen MT"/>
          <w:sz w:val="18"/>
          <w:szCs w:val="18"/>
        </w:rPr>
        <w:t xml:space="preserve"> valve cell culture and </w:t>
      </w:r>
      <w:r w:rsidRPr="007B5A5A">
        <w:rPr>
          <w:rFonts w:ascii="Tw Cen MT" w:hAnsi="Tw Cen MT"/>
          <w:i/>
          <w:sz w:val="18"/>
          <w:szCs w:val="18"/>
        </w:rPr>
        <w:t>in vivo</w:t>
      </w:r>
      <w:r w:rsidRPr="007B5A5A">
        <w:rPr>
          <w:rFonts w:ascii="Tw Cen MT" w:hAnsi="Tw Cen MT"/>
          <w:sz w:val="18"/>
          <w:szCs w:val="18"/>
        </w:rPr>
        <w:t xml:space="preserve"> therapy. </w:t>
      </w:r>
    </w:p>
    <w:p w14:paraId="0876C727" w14:textId="77777777" w:rsidR="007B5A5A" w:rsidRPr="007B5A5A" w:rsidRDefault="00311992" w:rsidP="007B5A5A">
      <w:pPr>
        <w:pStyle w:val="ZingAbstractText"/>
        <w:ind w:left="90"/>
        <w:rPr>
          <w:rFonts w:ascii="Tw Cen MT" w:hAnsi="Tw Cen MT"/>
          <w:sz w:val="18"/>
          <w:szCs w:val="18"/>
        </w:rPr>
      </w:pPr>
      <w:r w:rsidRPr="007B5A5A">
        <w:rPr>
          <w:rFonts w:ascii="Tw Cen MT" w:hAnsi="Tw Cen MT"/>
          <w:sz w:val="18"/>
          <w:szCs w:val="18"/>
        </w:rPr>
        <w:t xml:space="preserve">First, a </w:t>
      </w:r>
      <w:proofErr w:type="spellStart"/>
      <w:r w:rsidRPr="007B5A5A">
        <w:rPr>
          <w:rFonts w:ascii="Tw Cen MT" w:hAnsi="Tw Cen MT"/>
          <w:sz w:val="18"/>
          <w:szCs w:val="18"/>
        </w:rPr>
        <w:t>photoresponsive</w:t>
      </w:r>
      <w:proofErr w:type="spellEnd"/>
      <w:r w:rsidRPr="007B5A5A">
        <w:rPr>
          <w:rFonts w:ascii="Tw Cen MT" w:hAnsi="Tw Cen MT"/>
          <w:sz w:val="18"/>
          <w:szCs w:val="18"/>
        </w:rPr>
        <w:t xml:space="preserve">, </w:t>
      </w:r>
      <w:proofErr w:type="gramStart"/>
      <w:r w:rsidRPr="007B5A5A">
        <w:rPr>
          <w:rFonts w:ascii="Tw Cen MT" w:hAnsi="Tw Cen MT"/>
          <w:sz w:val="18"/>
          <w:szCs w:val="18"/>
        </w:rPr>
        <w:t>poly(</w:t>
      </w:r>
      <w:proofErr w:type="gramEnd"/>
      <w:r w:rsidRPr="007B5A5A">
        <w:rPr>
          <w:rFonts w:ascii="Tw Cen MT" w:hAnsi="Tw Cen MT"/>
          <w:sz w:val="18"/>
          <w:szCs w:val="18"/>
        </w:rPr>
        <w:t>ethylene glycol) (PEG) based hydrogel has been developed with reversible mechanics to study the (</w:t>
      </w:r>
      <w:proofErr w:type="spellStart"/>
      <w:r w:rsidRPr="007B5A5A">
        <w:rPr>
          <w:rFonts w:ascii="Tw Cen MT" w:hAnsi="Tw Cen MT"/>
          <w:sz w:val="18"/>
          <w:szCs w:val="18"/>
        </w:rPr>
        <w:t>ir</w:t>
      </w:r>
      <w:proofErr w:type="spellEnd"/>
      <w:r w:rsidRPr="007B5A5A">
        <w:rPr>
          <w:rFonts w:ascii="Tw Cen MT" w:hAnsi="Tw Cen MT"/>
          <w:sz w:val="18"/>
          <w:szCs w:val="18"/>
        </w:rPr>
        <w:t xml:space="preserve">)reversibility of </w:t>
      </w:r>
      <w:proofErr w:type="spellStart"/>
      <w:r w:rsidRPr="007B5A5A">
        <w:rPr>
          <w:rFonts w:ascii="Tw Cen MT" w:hAnsi="Tw Cen MT"/>
          <w:sz w:val="18"/>
          <w:szCs w:val="18"/>
        </w:rPr>
        <w:t>myofibroblast</w:t>
      </w:r>
      <w:proofErr w:type="spellEnd"/>
      <w:r w:rsidRPr="007B5A5A">
        <w:rPr>
          <w:rFonts w:ascii="Tw Cen MT" w:hAnsi="Tw Cen MT"/>
          <w:sz w:val="18"/>
          <w:szCs w:val="18"/>
        </w:rPr>
        <w:t xml:space="preserve"> activation during cardiac valve fibrosis. Leveraging this system, we have established hydrogel culture conditions that maintain quiescence in isolated </w:t>
      </w:r>
      <w:proofErr w:type="spellStart"/>
      <w:r w:rsidRPr="007B5A5A">
        <w:rPr>
          <w:rFonts w:ascii="Tw Cen MT" w:hAnsi="Tw Cen MT"/>
          <w:sz w:val="18"/>
          <w:szCs w:val="18"/>
        </w:rPr>
        <w:t>valvular</w:t>
      </w:r>
      <w:proofErr w:type="spellEnd"/>
      <w:r w:rsidRPr="007B5A5A">
        <w:rPr>
          <w:rFonts w:ascii="Tw Cen MT" w:hAnsi="Tw Cen MT"/>
          <w:sz w:val="18"/>
          <w:szCs w:val="18"/>
        </w:rPr>
        <w:t xml:space="preserve"> interstitial cells (VICs) and identified signalling pathways that regulate VIC </w:t>
      </w:r>
      <w:proofErr w:type="spellStart"/>
      <w:r w:rsidRPr="007B5A5A">
        <w:rPr>
          <w:rFonts w:ascii="Tw Cen MT" w:hAnsi="Tw Cen MT"/>
          <w:sz w:val="18"/>
          <w:szCs w:val="18"/>
        </w:rPr>
        <w:t>myofibroblast</w:t>
      </w:r>
      <w:proofErr w:type="spellEnd"/>
      <w:r w:rsidRPr="007B5A5A">
        <w:rPr>
          <w:rFonts w:ascii="Tw Cen MT" w:hAnsi="Tw Cen MT"/>
          <w:sz w:val="18"/>
          <w:szCs w:val="18"/>
        </w:rPr>
        <w:t xml:space="preserve"> activation.</w:t>
      </w:r>
      <w:r w:rsidRPr="007B5A5A">
        <w:rPr>
          <w:rFonts w:ascii="Tw Cen MT" w:hAnsi="Tw Cen MT"/>
          <w:sz w:val="18"/>
          <w:szCs w:val="18"/>
          <w:vertAlign w:val="superscript"/>
        </w:rPr>
        <w:t xml:space="preserve"> </w:t>
      </w:r>
      <w:r w:rsidRPr="007B5A5A">
        <w:rPr>
          <w:rFonts w:ascii="Tw Cen MT" w:hAnsi="Tw Cen MT"/>
          <w:sz w:val="18"/>
          <w:szCs w:val="18"/>
        </w:rPr>
        <w:t xml:space="preserve">This work highlights the importance of considering the culture context when studying valve cell biology outside of the body and when treating valve disease </w:t>
      </w:r>
      <w:r w:rsidRPr="007B5A5A">
        <w:rPr>
          <w:rFonts w:ascii="Tw Cen MT" w:hAnsi="Tw Cen MT"/>
          <w:i/>
          <w:sz w:val="18"/>
          <w:szCs w:val="18"/>
        </w:rPr>
        <w:t>in vivo</w:t>
      </w:r>
      <w:r w:rsidRPr="007B5A5A">
        <w:rPr>
          <w:rFonts w:ascii="Tw Cen MT" w:hAnsi="Tw Cen MT"/>
          <w:sz w:val="18"/>
          <w:szCs w:val="18"/>
        </w:rPr>
        <w:t>.</w:t>
      </w:r>
    </w:p>
    <w:p w14:paraId="4FC2CC74" w14:textId="77777777" w:rsidR="007B5A5A" w:rsidRPr="007B5A5A" w:rsidRDefault="00311992" w:rsidP="007B5A5A">
      <w:pPr>
        <w:pStyle w:val="ZingAbstractText"/>
        <w:ind w:left="90"/>
        <w:rPr>
          <w:rFonts w:ascii="Tw Cen MT" w:hAnsi="Tw Cen MT"/>
          <w:sz w:val="18"/>
          <w:szCs w:val="18"/>
        </w:rPr>
      </w:pPr>
      <w:r w:rsidRPr="007B5A5A">
        <w:rPr>
          <w:rFonts w:ascii="Tw Cen MT" w:hAnsi="Tw Cen MT"/>
          <w:sz w:val="18"/>
          <w:szCs w:val="18"/>
        </w:rPr>
        <w:t xml:space="preserve">In the second part of this talk, an injectable hydrogel for the treatment of valve disorders will be introduced. There is a growing understanding that the valve possesses the innate ability to compensate for pathological states in a range of valve disorders. However, signalling within the valve is often disrupted in the diseased state and positive biological feedback leads to acceleration of pathology. Local delivery of therapeutics or cells in order to modulate valve cell biology has the potential to abrogate or even reverse disease progression as an alternative to valve repair or replacement. This section will specifically focus on how we are leveraging a self-assembled, shear-thinning and </w:t>
      </w:r>
      <w:r w:rsidRPr="007B5A5A">
        <w:rPr>
          <w:rFonts w:ascii="Tw Cen MT" w:hAnsi="Tw Cen MT"/>
          <w:sz w:val="18"/>
          <w:szCs w:val="18"/>
        </w:rPr>
        <w:lastRenderedPageBreak/>
        <w:t>self-healing injectable hydrogel for localized delivery of therapeutics and healthy cells.</w:t>
      </w:r>
    </w:p>
    <w:p w14:paraId="7F2A5B33" w14:textId="77777777" w:rsidR="00311992" w:rsidRPr="007B5A5A" w:rsidRDefault="00311992" w:rsidP="00311992">
      <w:pPr>
        <w:pStyle w:val="ZingAbstractText"/>
        <w:ind w:left="90"/>
        <w:rPr>
          <w:rFonts w:ascii="Tw Cen MT" w:hAnsi="Tw Cen MT"/>
          <w:i/>
          <w:sz w:val="22"/>
          <w:szCs w:val="22"/>
        </w:rPr>
      </w:pPr>
      <w:r w:rsidRPr="007B5A5A">
        <w:rPr>
          <w:rFonts w:ascii="Tw Cen MT" w:hAnsi="Tw Cen MT"/>
          <w:sz w:val="18"/>
          <w:szCs w:val="18"/>
        </w:rPr>
        <w:t>In total, we aim to demonstrate how materials engineering and design can be employed to complement biology and surgical techniques in the understanding and treatment of valve disorders.</w:t>
      </w:r>
    </w:p>
    <w:p w14:paraId="16F9A44C" w14:textId="77777777" w:rsidR="00AE3E37" w:rsidRPr="007B5A5A" w:rsidRDefault="00AE3E37" w:rsidP="00311992">
      <w:pPr>
        <w:pStyle w:val="Heading3"/>
        <w:spacing w:before="74"/>
        <w:ind w:left="90"/>
        <w:rPr>
          <w:rFonts w:ascii="Tw Cen MT" w:hAnsi="Tw Cen MT"/>
        </w:rPr>
      </w:pPr>
    </w:p>
    <w:p w14:paraId="0220B95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C726418" w14:textId="244CAC4D" w:rsidR="00475921" w:rsidRPr="00475921" w:rsidRDefault="00475921" w:rsidP="005973B9">
      <w:pPr>
        <w:pStyle w:val="ListParagraph"/>
        <w:numPr>
          <w:ilvl w:val="0"/>
          <w:numId w:val="3"/>
        </w:numPr>
        <w:tabs>
          <w:tab w:val="left" w:pos="384"/>
        </w:tabs>
        <w:spacing w:line="216" w:lineRule="exact"/>
        <w:ind w:right="137" w:hanging="283"/>
        <w:rPr>
          <w:sz w:val="18"/>
        </w:rPr>
      </w:pPr>
      <w:proofErr w:type="spellStart"/>
      <w:r w:rsidRPr="00475921">
        <w:rPr>
          <w:bCs/>
          <w:sz w:val="18"/>
          <w:lang w:val="en-GB"/>
        </w:rPr>
        <w:t>Kloxin</w:t>
      </w:r>
      <w:proofErr w:type="spellEnd"/>
      <w:r w:rsidR="007463BA">
        <w:rPr>
          <w:bCs/>
          <w:sz w:val="18"/>
          <w:lang w:val="en-GB"/>
        </w:rPr>
        <w:t xml:space="preserve"> AM, </w:t>
      </w:r>
      <w:r w:rsidRPr="00475921">
        <w:rPr>
          <w:bCs/>
          <w:sz w:val="18"/>
          <w:lang w:val="en-GB"/>
        </w:rPr>
        <w:t>Benton</w:t>
      </w:r>
      <w:r w:rsidR="007463BA">
        <w:rPr>
          <w:bCs/>
          <w:sz w:val="18"/>
          <w:lang w:val="en-GB"/>
        </w:rPr>
        <w:t xml:space="preserve"> JA, </w:t>
      </w:r>
      <w:proofErr w:type="spellStart"/>
      <w:r w:rsidRPr="00475921">
        <w:rPr>
          <w:bCs/>
          <w:sz w:val="18"/>
          <w:lang w:val="en-GB"/>
        </w:rPr>
        <w:t>Anseth</w:t>
      </w:r>
      <w:proofErr w:type="spellEnd"/>
      <w:r w:rsidR="007463BA">
        <w:rPr>
          <w:bCs/>
          <w:sz w:val="18"/>
          <w:lang w:val="en-GB"/>
        </w:rPr>
        <w:t xml:space="preserve"> KS</w:t>
      </w:r>
      <w:r>
        <w:rPr>
          <w:bCs/>
          <w:sz w:val="18"/>
          <w:lang w:val="en-GB"/>
        </w:rPr>
        <w:t xml:space="preserve"> (2010) </w:t>
      </w:r>
      <w:r w:rsidR="007B5A5A">
        <w:rPr>
          <w:bCs/>
          <w:sz w:val="18"/>
          <w:lang w:val="en-GB"/>
        </w:rPr>
        <w:t xml:space="preserve">In situ elasticity modulation with dynamic substrates to direct cell phenotype. </w:t>
      </w:r>
      <w:r w:rsidRPr="007B5A5A">
        <w:rPr>
          <w:bCs/>
          <w:sz w:val="18"/>
          <w:lang w:val="en-GB"/>
        </w:rPr>
        <w:t>Biomaterials</w:t>
      </w:r>
      <w:r w:rsidR="00311992">
        <w:rPr>
          <w:bCs/>
          <w:sz w:val="18"/>
          <w:lang w:val="en-GB"/>
        </w:rPr>
        <w:t xml:space="preserve"> 31:1</w:t>
      </w:r>
      <w:r w:rsidR="007B5A5A">
        <w:rPr>
          <w:bCs/>
          <w:sz w:val="18"/>
          <w:lang w:val="en-GB"/>
        </w:rPr>
        <w:t>-8</w:t>
      </w:r>
      <w:r w:rsidRPr="00475921">
        <w:rPr>
          <w:bCs/>
          <w:sz w:val="18"/>
          <w:lang w:val="en-GB"/>
        </w:rPr>
        <w:t>.</w:t>
      </w:r>
    </w:p>
    <w:p w14:paraId="0B76B661" w14:textId="3EE69A0D" w:rsidR="007B5A5A" w:rsidRPr="007B5A5A" w:rsidRDefault="007B5A5A" w:rsidP="005973B9">
      <w:pPr>
        <w:pStyle w:val="ListParagraph"/>
        <w:numPr>
          <w:ilvl w:val="0"/>
          <w:numId w:val="3"/>
        </w:numPr>
        <w:tabs>
          <w:tab w:val="left" w:pos="384"/>
        </w:tabs>
        <w:spacing w:line="216" w:lineRule="exact"/>
        <w:ind w:right="138" w:hanging="283"/>
        <w:rPr>
          <w:sz w:val="18"/>
        </w:rPr>
      </w:pPr>
      <w:r w:rsidRPr="007B5A5A">
        <w:rPr>
          <w:bCs/>
          <w:sz w:val="18"/>
          <w:lang w:val="en-GB"/>
        </w:rPr>
        <w:t>Wang</w:t>
      </w:r>
      <w:r w:rsidR="007463BA">
        <w:rPr>
          <w:bCs/>
          <w:sz w:val="18"/>
          <w:lang w:val="en-GB"/>
        </w:rPr>
        <w:t xml:space="preserve"> H, </w:t>
      </w:r>
      <w:r w:rsidRPr="007B5A5A">
        <w:rPr>
          <w:bCs/>
          <w:sz w:val="18"/>
          <w:lang w:val="en-GB"/>
        </w:rPr>
        <w:t>Tibbitt</w:t>
      </w:r>
      <w:r w:rsidR="007463BA">
        <w:rPr>
          <w:bCs/>
          <w:sz w:val="18"/>
          <w:lang w:val="en-GB"/>
        </w:rPr>
        <w:t xml:space="preserve"> MW, </w:t>
      </w:r>
      <w:r w:rsidRPr="007B5A5A">
        <w:rPr>
          <w:bCs/>
          <w:sz w:val="18"/>
          <w:lang w:val="en-GB"/>
        </w:rPr>
        <w:t>Langer</w:t>
      </w:r>
      <w:r w:rsidR="007463BA">
        <w:rPr>
          <w:bCs/>
          <w:sz w:val="18"/>
          <w:lang w:val="en-GB"/>
        </w:rPr>
        <w:t xml:space="preserve"> SJ, </w:t>
      </w:r>
      <w:proofErr w:type="spellStart"/>
      <w:r w:rsidRPr="007B5A5A">
        <w:rPr>
          <w:bCs/>
          <w:sz w:val="18"/>
          <w:lang w:val="en-GB"/>
        </w:rPr>
        <w:t>Leinwand</w:t>
      </w:r>
      <w:proofErr w:type="spellEnd"/>
      <w:r w:rsidR="007463BA">
        <w:rPr>
          <w:bCs/>
          <w:sz w:val="18"/>
          <w:lang w:val="en-GB"/>
        </w:rPr>
        <w:t xml:space="preserve"> LA, </w:t>
      </w:r>
      <w:proofErr w:type="spellStart"/>
      <w:r w:rsidRPr="007B5A5A">
        <w:rPr>
          <w:bCs/>
          <w:sz w:val="18"/>
          <w:lang w:val="en-GB"/>
        </w:rPr>
        <w:t>Anseth</w:t>
      </w:r>
      <w:proofErr w:type="spellEnd"/>
      <w:r w:rsidR="007463BA">
        <w:rPr>
          <w:bCs/>
          <w:sz w:val="18"/>
          <w:lang w:val="en-GB"/>
        </w:rPr>
        <w:t xml:space="preserve"> KS</w:t>
      </w:r>
      <w:r>
        <w:rPr>
          <w:bCs/>
          <w:sz w:val="18"/>
          <w:lang w:val="en-GB"/>
        </w:rPr>
        <w:t xml:space="preserve"> (2013) Hydrogels preserve native phenotypes of </w:t>
      </w:r>
      <w:proofErr w:type="spellStart"/>
      <w:r>
        <w:rPr>
          <w:bCs/>
          <w:sz w:val="18"/>
          <w:lang w:val="en-GB"/>
        </w:rPr>
        <w:t>valvular</w:t>
      </w:r>
      <w:proofErr w:type="spellEnd"/>
      <w:r>
        <w:rPr>
          <w:bCs/>
          <w:sz w:val="18"/>
          <w:lang w:val="en-GB"/>
        </w:rPr>
        <w:t xml:space="preserve"> fibroblasts through an elasticity-regulated PI3K/AKT pathway. </w:t>
      </w:r>
      <w:r w:rsidRPr="007B5A5A">
        <w:rPr>
          <w:bCs/>
          <w:i/>
          <w:sz w:val="18"/>
          <w:lang w:val="en-GB"/>
        </w:rPr>
        <w:t>PNAS</w:t>
      </w:r>
      <w:r>
        <w:rPr>
          <w:bCs/>
          <w:sz w:val="18"/>
          <w:lang w:val="en-GB"/>
        </w:rPr>
        <w:t xml:space="preserve"> </w:t>
      </w:r>
      <w:r w:rsidRPr="007B5A5A">
        <w:rPr>
          <w:bCs/>
          <w:sz w:val="18"/>
          <w:lang w:val="en-GB"/>
        </w:rPr>
        <w:t>110</w:t>
      </w:r>
      <w:r>
        <w:rPr>
          <w:bCs/>
          <w:sz w:val="18"/>
          <w:lang w:val="en-GB"/>
        </w:rPr>
        <w:t>:</w:t>
      </w:r>
      <w:r w:rsidRPr="007B5A5A">
        <w:rPr>
          <w:bCs/>
          <w:sz w:val="18"/>
          <w:lang w:val="en-GB"/>
        </w:rPr>
        <w:t>19336</w:t>
      </w:r>
      <w:r>
        <w:rPr>
          <w:bCs/>
          <w:sz w:val="18"/>
          <w:lang w:val="en-GB"/>
        </w:rPr>
        <w:t>-19341</w:t>
      </w:r>
      <w:r w:rsidRPr="007B5A5A">
        <w:rPr>
          <w:bCs/>
          <w:sz w:val="18"/>
          <w:lang w:val="en-GB"/>
        </w:rPr>
        <w:t>.</w:t>
      </w:r>
    </w:p>
    <w:p w14:paraId="505DE85F" w14:textId="507243D8" w:rsidR="007463BA" w:rsidRPr="007463BA" w:rsidRDefault="007463BA" w:rsidP="005973B9">
      <w:pPr>
        <w:pStyle w:val="ListParagraph"/>
        <w:numPr>
          <w:ilvl w:val="0"/>
          <w:numId w:val="3"/>
        </w:numPr>
        <w:tabs>
          <w:tab w:val="left" w:pos="384"/>
        </w:tabs>
        <w:spacing w:before="92" w:line="218" w:lineRule="exact"/>
        <w:ind w:hanging="283"/>
        <w:rPr>
          <w:sz w:val="18"/>
        </w:rPr>
      </w:pPr>
      <w:r w:rsidRPr="007463BA">
        <w:rPr>
          <w:bCs/>
          <w:sz w:val="18"/>
          <w:lang w:val="en-GB"/>
        </w:rPr>
        <w:t>Tibbitt</w:t>
      </w:r>
      <w:r>
        <w:rPr>
          <w:bCs/>
          <w:sz w:val="18"/>
          <w:lang w:val="en-GB"/>
        </w:rPr>
        <w:t xml:space="preserve"> MW, </w:t>
      </w:r>
      <w:proofErr w:type="spellStart"/>
      <w:r w:rsidRPr="007463BA">
        <w:rPr>
          <w:bCs/>
          <w:sz w:val="18"/>
          <w:lang w:val="en-GB"/>
        </w:rPr>
        <w:t>Dahlman</w:t>
      </w:r>
      <w:proofErr w:type="spellEnd"/>
      <w:r>
        <w:rPr>
          <w:bCs/>
          <w:sz w:val="18"/>
          <w:lang w:val="en-GB"/>
        </w:rPr>
        <w:t xml:space="preserve"> JE, </w:t>
      </w:r>
      <w:r w:rsidRPr="007463BA">
        <w:rPr>
          <w:bCs/>
          <w:sz w:val="18"/>
          <w:lang w:val="en-GB"/>
        </w:rPr>
        <w:t>Langer</w:t>
      </w:r>
      <w:r>
        <w:rPr>
          <w:bCs/>
          <w:sz w:val="18"/>
          <w:lang w:val="en-GB"/>
        </w:rPr>
        <w:t xml:space="preserve"> R (2016) Emerging frontiers of drug delivery.</w:t>
      </w:r>
      <w:r w:rsidRPr="007463BA">
        <w:rPr>
          <w:bCs/>
          <w:sz w:val="18"/>
          <w:lang w:val="en-GB"/>
        </w:rPr>
        <w:t xml:space="preserve"> </w:t>
      </w:r>
      <w:r>
        <w:rPr>
          <w:bCs/>
          <w:sz w:val="18"/>
          <w:lang w:val="en-GB"/>
        </w:rPr>
        <w:t>Journal of the American Chemical Society</w:t>
      </w:r>
      <w:r w:rsidRPr="007463BA">
        <w:rPr>
          <w:bCs/>
          <w:sz w:val="18"/>
          <w:lang w:val="en-GB"/>
        </w:rPr>
        <w:t xml:space="preserve"> 138</w:t>
      </w:r>
      <w:r>
        <w:rPr>
          <w:bCs/>
          <w:sz w:val="18"/>
          <w:lang w:val="en-GB"/>
        </w:rPr>
        <w:t>:</w:t>
      </w:r>
      <w:r w:rsidRPr="007463BA">
        <w:rPr>
          <w:bCs/>
          <w:sz w:val="18"/>
          <w:lang w:val="en-GB"/>
        </w:rPr>
        <w:t>704</w:t>
      </w:r>
      <w:r>
        <w:rPr>
          <w:bCs/>
          <w:sz w:val="18"/>
          <w:lang w:val="en-GB"/>
        </w:rPr>
        <w:t>-717</w:t>
      </w:r>
      <w:r w:rsidRPr="007463BA">
        <w:rPr>
          <w:bCs/>
          <w:sz w:val="18"/>
          <w:lang w:val="en-GB"/>
        </w:rPr>
        <w:t>.</w:t>
      </w:r>
    </w:p>
    <w:p w14:paraId="245E6911" w14:textId="283DCF06" w:rsidR="00AE3E37" w:rsidRPr="008756E6" w:rsidRDefault="007463BA" w:rsidP="008756E6">
      <w:pPr>
        <w:pStyle w:val="ListParagraph"/>
        <w:numPr>
          <w:ilvl w:val="0"/>
          <w:numId w:val="3"/>
        </w:numPr>
        <w:tabs>
          <w:tab w:val="left" w:pos="384"/>
        </w:tabs>
        <w:spacing w:before="92" w:line="218" w:lineRule="exact"/>
        <w:ind w:right="117" w:hanging="283"/>
      </w:pPr>
      <w:proofErr w:type="spellStart"/>
      <w:r w:rsidRPr="007463BA">
        <w:rPr>
          <w:sz w:val="18"/>
        </w:rPr>
        <w:t>Appel</w:t>
      </w:r>
      <w:proofErr w:type="spellEnd"/>
      <w:r w:rsidRPr="007463BA">
        <w:rPr>
          <w:sz w:val="18"/>
        </w:rPr>
        <w:t xml:space="preserve"> EA*, Tibbitt MW*, Webber MJ, </w:t>
      </w:r>
      <w:proofErr w:type="spellStart"/>
      <w:r w:rsidRPr="007463BA">
        <w:rPr>
          <w:sz w:val="18"/>
        </w:rPr>
        <w:t>Mattix</w:t>
      </w:r>
      <w:proofErr w:type="spellEnd"/>
      <w:r w:rsidRPr="007463BA">
        <w:rPr>
          <w:sz w:val="18"/>
        </w:rPr>
        <w:t xml:space="preserve"> BA, </w:t>
      </w:r>
      <w:proofErr w:type="spellStart"/>
      <w:r w:rsidRPr="007463BA">
        <w:rPr>
          <w:sz w:val="18"/>
        </w:rPr>
        <w:t>Veiseh</w:t>
      </w:r>
      <w:proofErr w:type="spellEnd"/>
      <w:r w:rsidRPr="007463BA">
        <w:rPr>
          <w:sz w:val="18"/>
        </w:rPr>
        <w:t xml:space="preserve"> O, Langer R (2015)</w:t>
      </w:r>
      <w:r w:rsidR="005973B9" w:rsidRPr="007463BA">
        <w:rPr>
          <w:sz w:val="18"/>
        </w:rPr>
        <w:t xml:space="preserve"> </w:t>
      </w:r>
      <w:r w:rsidR="001A3709">
        <w:rPr>
          <w:sz w:val="18"/>
        </w:rPr>
        <w:t>Self-assembling hydrogels utilizing polymer-nanoparticle interactions</w:t>
      </w:r>
      <w:r w:rsidRPr="007463BA">
        <w:rPr>
          <w:sz w:val="18"/>
        </w:rPr>
        <w:t>. Nature Communications</w:t>
      </w:r>
      <w:r>
        <w:rPr>
          <w:sz w:val="18"/>
        </w:rPr>
        <w:t xml:space="preserve"> 6:6295</w:t>
      </w:r>
    </w:p>
    <w:p w14:paraId="54F17DC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F722104" w14:textId="77777777" w:rsidR="00AE3E37" w:rsidRDefault="00AE3E37">
      <w:pPr>
        <w:pStyle w:val="BodyText"/>
        <w:rPr>
          <w:rFonts w:ascii="Calibri"/>
          <w:sz w:val="20"/>
        </w:rPr>
      </w:pPr>
    </w:p>
    <w:p w14:paraId="6869705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804E007" wp14:editId="1E136A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0089ECA" w14:textId="77777777" w:rsidR="00AE3E37" w:rsidRPr="002344FE" w:rsidRDefault="008756E6" w:rsidP="00404E5B">
      <w:pPr>
        <w:spacing w:before="92"/>
        <w:ind w:right="4234"/>
        <w:rPr>
          <w:rFonts w:ascii="Times New Roman" w:hAnsi="Times New Roman" w:cs="Times New Roman"/>
        </w:rPr>
      </w:pPr>
      <w:r>
        <w:rPr>
          <w:noProof/>
        </w:rPr>
        <w:t xml:space="preserve">              </w:t>
      </w:r>
      <w:r>
        <w:rPr>
          <w:noProof/>
        </w:rPr>
        <w:drawing>
          <wp:inline distT="0" distB="0" distL="0" distR="0" wp14:anchorId="69F2108C" wp14:editId="3FCDD3DD">
            <wp:extent cx="625069" cy="625069"/>
            <wp:effectExtent l="0" t="0" r="1016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sidRPr="002344FE">
        <w:rPr>
          <w:rFonts w:ascii="Times New Roman" w:hAnsi="Times New Roman" w:cs="Times New Roman"/>
          <w:color w:val="BF5A14"/>
        </w:rPr>
        <w:t>Biography</w:t>
      </w:r>
      <w:r w:rsidR="00404E5B" w:rsidRPr="002344FE">
        <w:rPr>
          <w:rFonts w:ascii="Times New Roman" w:hAnsi="Times New Roman" w:cs="Times New Roman"/>
          <w:color w:val="BF5A14"/>
        </w:rPr>
        <w:t xml:space="preserve"> (150 word limit)</w:t>
      </w:r>
    </w:p>
    <w:p w14:paraId="55C080A6" w14:textId="77777777" w:rsidR="002344FE" w:rsidRDefault="002344FE">
      <w:pPr>
        <w:spacing w:before="41" w:line="154" w:lineRule="exact"/>
        <w:ind w:left="213" w:right="231"/>
        <w:jc w:val="both"/>
        <w:rPr>
          <w:rFonts w:ascii="Times New Roman" w:hAnsi="Times New Roman" w:cs="Times New Roman"/>
        </w:rPr>
      </w:pPr>
    </w:p>
    <w:p w14:paraId="55145544" w14:textId="4BA150D9" w:rsidR="00AE3E37" w:rsidRDefault="001A3709" w:rsidP="001A3709">
      <w:pPr>
        <w:spacing w:line="192" w:lineRule="auto"/>
        <w:ind w:left="216" w:right="230"/>
        <w:jc w:val="both"/>
        <w:rPr>
          <w:rFonts w:ascii="Times New Roman" w:hAnsi="Times New Roman" w:cs="Times New Roman"/>
        </w:rPr>
      </w:pPr>
      <w:r>
        <w:rPr>
          <w:rFonts w:ascii="Times New Roman" w:hAnsi="Times New Roman" w:cs="Times New Roman"/>
        </w:rPr>
        <w:t xml:space="preserve">Mark W. Tibbitt is Assistant Professor of Macromolecular Engineering at ETH Zürich. He is currently the Director of the Macromolecular Engineering Laboratory in the Institute of Process Engineering within the Department of Mechanical and Process Engineering. Prof. Tibbitt received his B.A. in Integrated Science and Mathematics from Northwestern University in 2007. He completed a Ph.D. in Chemical Engineering in 2012 at the University of Colorado Boulder, conducting research in the laboratory of Prof. Kristi S. </w:t>
      </w:r>
      <w:proofErr w:type="spellStart"/>
      <w:r>
        <w:rPr>
          <w:rFonts w:ascii="Times New Roman" w:hAnsi="Times New Roman" w:cs="Times New Roman"/>
        </w:rPr>
        <w:t>Anseth</w:t>
      </w:r>
      <w:proofErr w:type="spellEnd"/>
      <w:r>
        <w:rPr>
          <w:rFonts w:ascii="Times New Roman" w:hAnsi="Times New Roman" w:cs="Times New Roman"/>
        </w:rPr>
        <w:t>. He then trained in the laboratory of Prof. Robert Langer at MIT as a National Institutes of Health NHLBI postdoctoral fellow.</w:t>
      </w:r>
    </w:p>
    <w:p w14:paraId="67CD357B" w14:textId="0E920AD1" w:rsidR="00203156" w:rsidRPr="002344FE" w:rsidRDefault="001A3709" w:rsidP="001A3709">
      <w:pPr>
        <w:spacing w:line="192" w:lineRule="auto"/>
        <w:ind w:left="216" w:right="230"/>
        <w:jc w:val="both"/>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Tibbitt’s</w:t>
      </w:r>
      <w:proofErr w:type="spellEnd"/>
      <w:r>
        <w:rPr>
          <w:rFonts w:ascii="Times New Roman" w:hAnsi="Times New Roman" w:cs="Times New Roman"/>
        </w:rPr>
        <w:t xml:space="preserve"> research integrates concepts and techniques from chemical engineering, polymer chemistry, materials science, and biology to design and assemble soft matter for biomedical applications. These soft materials are employed to understand fundamental processes in biology as well as translated to address clinical problems in drug delivery, regenerative medicine, and biomedical diagnostics.</w:t>
      </w:r>
    </w:p>
    <w:p w14:paraId="46899164" w14:textId="77777777" w:rsidR="002344FE" w:rsidRDefault="002344FE">
      <w:pPr>
        <w:spacing w:before="62"/>
        <w:ind w:left="4217" w:right="4235"/>
        <w:jc w:val="center"/>
        <w:rPr>
          <w:rFonts w:ascii="Arial"/>
          <w:sz w:val="14"/>
        </w:rPr>
      </w:pPr>
    </w:p>
    <w:p w14:paraId="269B7DC6" w14:textId="77777777" w:rsidR="00AE3E37" w:rsidRDefault="00A9710C" w:rsidP="00006429">
      <w:pPr>
        <w:spacing w:before="62"/>
        <w:ind w:left="4217" w:right="4235"/>
        <w:rPr>
          <w:rStyle w:val="Hyperlink"/>
          <w:rFonts w:ascii="Arial"/>
          <w:sz w:val="14"/>
        </w:rPr>
      </w:pPr>
      <w:r>
        <w:rPr>
          <w:rFonts w:ascii="Arial"/>
          <w:sz w:val="14"/>
        </w:rPr>
        <w:t xml:space="preserve">Email: </w:t>
      </w:r>
      <w:hyperlink r:id="rId11" w:history="1">
        <w:r w:rsidR="00475921">
          <w:rPr>
            <w:rStyle w:val="Hyperlink"/>
            <w:rFonts w:ascii="Arial"/>
            <w:sz w:val="14"/>
          </w:rPr>
          <w:t>mtibbitt@ethz.ch</w:t>
        </w:r>
      </w:hyperlink>
    </w:p>
    <w:p w14:paraId="3634E39B" w14:textId="77777777" w:rsidR="00006429" w:rsidRPr="00006429" w:rsidRDefault="00006429" w:rsidP="00006429">
      <w:pPr>
        <w:spacing w:before="62"/>
        <w:ind w:left="4217" w:right="4235"/>
        <w:rPr>
          <w:rFonts w:ascii="Arial"/>
          <w:sz w:val="14"/>
        </w:rPr>
      </w:pPr>
      <w:r w:rsidRPr="00006429">
        <w:rPr>
          <w:rStyle w:val="Hyperlink"/>
          <w:rFonts w:ascii="Arial"/>
          <w:color w:val="auto"/>
          <w:sz w:val="14"/>
          <w:u w:val="none"/>
        </w:rPr>
        <w:t xml:space="preserve">Phone No: </w:t>
      </w:r>
      <w:r w:rsidR="00475921">
        <w:rPr>
          <w:rStyle w:val="Hyperlink"/>
          <w:rFonts w:ascii="Arial"/>
          <w:color w:val="auto"/>
          <w:sz w:val="14"/>
          <w:u w:val="none"/>
        </w:rPr>
        <w:t>+1 630 525 0516</w:t>
      </w:r>
    </w:p>
    <w:p w14:paraId="260C808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5E41DDB" wp14:editId="2B5A38A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8AAD4D7" w14:textId="77777777" w:rsidR="00AE3E37" w:rsidRDefault="00AE3E37">
      <w:pPr>
        <w:pStyle w:val="BodyText"/>
        <w:rPr>
          <w:rFonts w:ascii="Arial"/>
          <w:sz w:val="20"/>
        </w:rPr>
      </w:pPr>
    </w:p>
    <w:p w14:paraId="5CB41F3C" w14:textId="77777777" w:rsidR="00AE3E37" w:rsidRDefault="00AE3E37">
      <w:pPr>
        <w:pStyle w:val="BodyText"/>
        <w:rPr>
          <w:rFonts w:ascii="Arial"/>
          <w:sz w:val="20"/>
        </w:rPr>
      </w:pPr>
    </w:p>
    <w:p w14:paraId="051F268E" w14:textId="77777777" w:rsidR="00AE3E37" w:rsidRDefault="00AE3E37">
      <w:pPr>
        <w:pStyle w:val="BodyText"/>
        <w:spacing w:before="7"/>
        <w:rPr>
          <w:rFonts w:ascii="Arial"/>
          <w:sz w:val="29"/>
        </w:rPr>
      </w:pPr>
    </w:p>
    <w:p w14:paraId="1716BC54" w14:textId="77777777" w:rsidR="00AE3E37" w:rsidRPr="00B21A57" w:rsidRDefault="00A9710C">
      <w:pPr>
        <w:spacing w:before="39"/>
        <w:ind w:left="100"/>
        <w:rPr>
          <w:rFonts w:ascii="Minion Pro"/>
          <w:b/>
          <w:sz w:val="20"/>
        </w:rPr>
      </w:pPr>
      <w:r w:rsidRPr="00B21A57">
        <w:rPr>
          <w:rFonts w:ascii="Minion Pro"/>
          <w:b/>
          <w:sz w:val="20"/>
        </w:rPr>
        <w:t>Notes/Comments:</w:t>
      </w:r>
    </w:p>
    <w:p w14:paraId="5E43927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56E906" w14:textId="77777777" w:rsidR="00AE3E37" w:rsidRDefault="00AE3E37">
      <w:pPr>
        <w:pStyle w:val="BodyText"/>
        <w:spacing w:before="3"/>
        <w:rPr>
          <w:rFonts w:ascii="Minion Pro"/>
          <w:sz w:val="26"/>
        </w:rPr>
      </w:pPr>
    </w:p>
    <w:p w14:paraId="5E366671" w14:textId="77777777" w:rsidR="007B5A5A" w:rsidRDefault="007B5A5A">
      <w:pPr>
        <w:rPr>
          <w:rFonts w:asciiTheme="minorHAnsi" w:eastAsiaTheme="minorHAnsi" w:hAnsiTheme="minorHAnsi" w:cstheme="minorBidi"/>
        </w:rPr>
      </w:pPr>
    </w:p>
    <w:sectPr w:rsidR="007B5A5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72451A" w14:textId="77777777" w:rsidR="001A3709" w:rsidRDefault="001A3709">
      <w:r>
        <w:separator/>
      </w:r>
    </w:p>
  </w:endnote>
  <w:endnote w:type="continuationSeparator" w:id="0">
    <w:p w14:paraId="7DFF7463" w14:textId="77777777" w:rsidR="001A3709" w:rsidRDefault="001A37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62F32E" w14:textId="77777777" w:rsidR="001A3709" w:rsidRDefault="001A370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1485B0B" wp14:editId="4FD972B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1F861" w14:textId="77777777" w:rsidR="001A3709" w:rsidRPr="005B3A56" w:rsidRDefault="001A37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32510C" w14:textId="77777777" w:rsidR="001A3709" w:rsidRPr="005B3A56" w:rsidRDefault="001A37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BD1F861" w14:textId="77777777" w:rsidR="001A3709" w:rsidRPr="005B3A56" w:rsidRDefault="001A37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32510C" w14:textId="77777777" w:rsidR="001A3709" w:rsidRPr="005B3A56" w:rsidRDefault="001A37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41389E9" wp14:editId="5C9E9F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2E6EB" w14:textId="77777777" w:rsidR="001A3709" w:rsidRPr="005B3A56" w:rsidRDefault="001A37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91813D" w14:textId="77777777" w:rsidR="001A3709" w:rsidRPr="005B3A56" w:rsidRDefault="001A370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AF2E6EB" w14:textId="77777777" w:rsidR="001A3709" w:rsidRPr="005B3A56" w:rsidRDefault="001A37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391813D" w14:textId="77777777" w:rsidR="001A3709" w:rsidRPr="005B3A56" w:rsidRDefault="001A370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5485F5" wp14:editId="61A3D34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F9F801" w14:textId="77777777" w:rsidR="001A3709" w:rsidRPr="005B3A56" w:rsidRDefault="001A370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AC368D" w14:textId="77777777" w:rsidR="001A3709" w:rsidRPr="005B3A56" w:rsidRDefault="001A37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6EF9F801" w14:textId="77777777" w:rsidR="001A3709" w:rsidRPr="005B3A56" w:rsidRDefault="001A370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AC368D" w14:textId="77777777" w:rsidR="001A3709" w:rsidRPr="005B3A56" w:rsidRDefault="001A37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3CD75B" w14:textId="77777777" w:rsidR="001A3709" w:rsidRDefault="001A3709">
      <w:r>
        <w:separator/>
      </w:r>
    </w:p>
  </w:footnote>
  <w:footnote w:type="continuationSeparator" w:id="0">
    <w:p w14:paraId="5BEFCD26" w14:textId="77777777" w:rsidR="001A3709" w:rsidRDefault="001A370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90195" w14:textId="77777777" w:rsidR="001A3709" w:rsidRDefault="001A370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5F217D8" wp14:editId="6389AC1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EE463A" w14:textId="77777777" w:rsidR="001A3709" w:rsidRPr="005B3A56" w:rsidRDefault="001A37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w:t>
                            </w:r>
                            <w:r w:rsidRPr="005B3A56">
                              <w:rPr>
                                <w:rFonts w:ascii="Arial"/>
                                <w:color w:val="FFFFFF" w:themeColor="background1"/>
                                <w:sz w:val="14"/>
                              </w:rPr>
                              <w:t>.</w:t>
                            </w:r>
                            <w:r w:rsidRPr="005B3A56">
                              <w:rPr>
                                <w:rFonts w:ascii="Arial"/>
                                <w:color w:val="FFFFFF" w:themeColor="background1"/>
                                <w:sz w:val="14"/>
                              </w:rPr>
                              <w:t>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4EE463A" w14:textId="77777777" w:rsidR="001A3709" w:rsidRPr="005B3A56" w:rsidRDefault="001A37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w:t>
                      </w:r>
                      <w:r w:rsidRPr="005B3A56">
                        <w:rPr>
                          <w:rFonts w:ascii="Arial"/>
                          <w:color w:val="FFFFFF" w:themeColor="background1"/>
                          <w:sz w:val="14"/>
                        </w:rPr>
                        <w:t>.</w:t>
                      </w:r>
                      <w:r w:rsidRPr="005B3A56">
                        <w:rPr>
                          <w:rFonts w:ascii="Arial"/>
                          <w:color w:val="FFFFFF" w:themeColor="background1"/>
                          <w:sz w:val="14"/>
                        </w:rPr>
                        <w:t>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39C84B7" wp14:editId="169C32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49D7C" w14:textId="77777777" w:rsidR="001A3709" w:rsidRPr="005B3A56" w:rsidRDefault="001A37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1A6275" w14:textId="77777777" w:rsidR="001A3709" w:rsidRPr="005B3A56" w:rsidRDefault="001A37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C049D7C" w14:textId="77777777" w:rsidR="001A3709" w:rsidRPr="005B3A56" w:rsidRDefault="001A37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81A6275" w14:textId="77777777" w:rsidR="001A3709" w:rsidRPr="005B3A56" w:rsidRDefault="001A37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6429"/>
    <w:rsid w:val="000E2911"/>
    <w:rsid w:val="001263DF"/>
    <w:rsid w:val="001A3709"/>
    <w:rsid w:val="00203156"/>
    <w:rsid w:val="002344FE"/>
    <w:rsid w:val="00292ED9"/>
    <w:rsid w:val="002E63DB"/>
    <w:rsid w:val="00311992"/>
    <w:rsid w:val="00404E5B"/>
    <w:rsid w:val="00414F7B"/>
    <w:rsid w:val="004355DC"/>
    <w:rsid w:val="004749B4"/>
    <w:rsid w:val="00475921"/>
    <w:rsid w:val="00494130"/>
    <w:rsid w:val="004F3523"/>
    <w:rsid w:val="005973B9"/>
    <w:rsid w:val="005B3A56"/>
    <w:rsid w:val="005C0676"/>
    <w:rsid w:val="006060CE"/>
    <w:rsid w:val="0063497F"/>
    <w:rsid w:val="007463BA"/>
    <w:rsid w:val="007B5A5A"/>
    <w:rsid w:val="00873DF0"/>
    <w:rsid w:val="008756E6"/>
    <w:rsid w:val="009B2D44"/>
    <w:rsid w:val="00A07E82"/>
    <w:rsid w:val="00A9710C"/>
    <w:rsid w:val="00AE3E37"/>
    <w:rsid w:val="00B21A57"/>
    <w:rsid w:val="00B53AC9"/>
    <w:rsid w:val="00B95AD4"/>
    <w:rsid w:val="00C33602"/>
    <w:rsid w:val="00CB5802"/>
    <w:rsid w:val="00CD6F55"/>
    <w:rsid w:val="00DE3104"/>
    <w:rsid w:val="00EA596D"/>
    <w:rsid w:val="00F11DB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D85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ZingAbstractText">
    <w:name w:val="Zing Abstract Text"/>
    <w:basedOn w:val="Normal"/>
    <w:link w:val="ZingAbstractTextChar"/>
    <w:qFormat/>
    <w:rsid w:val="00311992"/>
    <w:pPr>
      <w:widowControl/>
      <w:jc w:val="both"/>
    </w:pPr>
    <w:rPr>
      <w:rFonts w:ascii="Arial" w:eastAsia="Calibri" w:hAnsi="Arial" w:cs="Arial"/>
      <w:bCs/>
      <w:sz w:val="16"/>
      <w:szCs w:val="16"/>
      <w:lang w:val="en-GB" w:eastAsia="en-GB"/>
    </w:rPr>
  </w:style>
  <w:style w:type="character" w:customStyle="1" w:styleId="ZingAbstractTextChar">
    <w:name w:val="Zing Abstract Text Char"/>
    <w:link w:val="ZingAbstractText"/>
    <w:rsid w:val="00311992"/>
    <w:rPr>
      <w:rFonts w:ascii="Arial" w:eastAsia="Calibri" w:hAnsi="Arial" w:cs="Arial"/>
      <w:bCs/>
      <w:sz w:val="16"/>
      <w:szCs w:val="16"/>
      <w:lang w:val="en-GB"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ZingAbstractText">
    <w:name w:val="Zing Abstract Text"/>
    <w:basedOn w:val="Normal"/>
    <w:link w:val="ZingAbstractTextChar"/>
    <w:qFormat/>
    <w:rsid w:val="00311992"/>
    <w:pPr>
      <w:widowControl/>
      <w:jc w:val="both"/>
    </w:pPr>
    <w:rPr>
      <w:rFonts w:ascii="Arial" w:eastAsia="Calibri" w:hAnsi="Arial" w:cs="Arial"/>
      <w:bCs/>
      <w:sz w:val="16"/>
      <w:szCs w:val="16"/>
      <w:lang w:val="en-GB" w:eastAsia="en-GB"/>
    </w:rPr>
  </w:style>
  <w:style w:type="character" w:customStyle="1" w:styleId="ZingAbstractTextChar">
    <w:name w:val="Zing Abstract Text Char"/>
    <w:link w:val="ZingAbstractText"/>
    <w:rsid w:val="00311992"/>
    <w:rPr>
      <w:rFonts w:ascii="Arial" w:eastAsia="Calibri" w:hAnsi="Arial" w:cs="Arial"/>
      <w:bCs/>
      <w:sz w:val="16"/>
      <w:szCs w:val="1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618</Words>
  <Characters>3528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Mark Tibbitt</cp:lastModifiedBy>
  <cp:revision>4</cp:revision>
  <dcterms:created xsi:type="dcterms:W3CDTF">2017-03-14T19:52:00Z</dcterms:created>
  <dcterms:modified xsi:type="dcterms:W3CDTF">2017-03-14T20:14:00Z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