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6B0" w:rsidRPr="00345A5C" w:rsidRDefault="003B06B0" w:rsidP="003B06B0">
      <w:pPr>
        <w:bidi w:val="0"/>
        <w:spacing w:before="100" w:line="240" w:lineRule="auto"/>
        <w:ind w:left="84" w:right="-284"/>
        <w:jc w:val="center"/>
        <w:rPr>
          <w:rFonts w:asciiTheme="majorHAnsi" w:hAnsiTheme="majorHAnsi"/>
          <w:b/>
          <w:sz w:val="32"/>
          <w:rtl/>
        </w:rPr>
      </w:pPr>
      <w:proofErr w:type="gramStart"/>
      <w:r w:rsidRPr="00345A5C">
        <w:rPr>
          <w:rFonts w:asciiTheme="majorHAnsi" w:hAnsiTheme="majorHAnsi"/>
          <w:b/>
          <w:sz w:val="32"/>
        </w:rPr>
        <w:t>Prediction o</w:t>
      </w:r>
      <w:r>
        <w:rPr>
          <w:rFonts w:asciiTheme="majorHAnsi" w:hAnsiTheme="majorHAnsi"/>
          <w:b/>
          <w:sz w:val="32"/>
        </w:rPr>
        <w:t>f Left Ventricular Dysfunction after Surgery i</w:t>
      </w:r>
      <w:r w:rsidRPr="00345A5C">
        <w:rPr>
          <w:rFonts w:asciiTheme="majorHAnsi" w:hAnsiTheme="majorHAnsi"/>
          <w:b/>
          <w:sz w:val="32"/>
        </w:rPr>
        <w:t>n Patients with Chronic Mitral Regurgitation Using Speckle-tracking and Three-Dimensional Echocardiography.</w:t>
      </w:r>
      <w:proofErr w:type="gramEnd"/>
    </w:p>
    <w:p w:rsidR="003B06B0" w:rsidRPr="00345A5C" w:rsidRDefault="003B06B0" w:rsidP="003B06B0">
      <w:pPr>
        <w:pStyle w:val="Heading1"/>
        <w:spacing w:line="240" w:lineRule="auto"/>
        <w:ind w:left="252" w:right="225"/>
        <w:jc w:val="center"/>
        <w:rPr>
          <w:b w:val="0"/>
        </w:rPr>
      </w:pPr>
      <w:r w:rsidRPr="00345A5C">
        <w:t xml:space="preserve">Ahmed </w:t>
      </w:r>
      <w:proofErr w:type="spellStart"/>
      <w:r w:rsidRPr="00345A5C">
        <w:t>Abd</w:t>
      </w:r>
      <w:proofErr w:type="spellEnd"/>
      <w:r w:rsidRPr="00345A5C">
        <w:t xml:space="preserve"> El </w:t>
      </w:r>
      <w:proofErr w:type="spellStart"/>
      <w:r w:rsidRPr="00345A5C">
        <w:t>Rahman</w:t>
      </w:r>
      <w:proofErr w:type="spellEnd"/>
      <w:r w:rsidRPr="00345A5C">
        <w:t xml:space="preserve"> </w:t>
      </w:r>
    </w:p>
    <w:p w:rsidR="003B06B0" w:rsidRPr="002B6B72" w:rsidRDefault="003B06B0" w:rsidP="003B06B0">
      <w:pPr>
        <w:bidi w:val="0"/>
        <w:spacing w:line="240" w:lineRule="auto"/>
        <w:ind w:left="408" w:right="391"/>
        <w:jc w:val="center"/>
        <w:rPr>
          <w:rFonts w:asciiTheme="majorHAnsi" w:hAnsiTheme="majorHAnsi"/>
          <w:i/>
          <w:sz w:val="24"/>
          <w:szCs w:val="24"/>
          <w:rtl/>
        </w:rPr>
      </w:pPr>
      <w:proofErr w:type="spellStart"/>
      <w:proofErr w:type="gramStart"/>
      <w:r w:rsidRPr="002B6B72">
        <w:rPr>
          <w:rFonts w:asciiTheme="majorHAnsi" w:hAnsiTheme="majorHAnsi"/>
          <w:i/>
          <w:sz w:val="24"/>
          <w:szCs w:val="24"/>
        </w:rPr>
        <w:t>lsamic</w:t>
      </w:r>
      <w:proofErr w:type="spellEnd"/>
      <w:proofErr w:type="gramEnd"/>
      <w:r w:rsidRPr="002B6B72">
        <w:rPr>
          <w:rFonts w:asciiTheme="majorHAnsi" w:hAnsiTheme="majorHAnsi"/>
          <w:i/>
          <w:sz w:val="24"/>
          <w:szCs w:val="24"/>
        </w:rPr>
        <w:t xml:space="preserve"> Cardiac Centre, Al Azhar University, Cairo, Egypt.</w:t>
      </w:r>
    </w:p>
    <w:p w:rsidR="003B06B0" w:rsidRPr="0029393A" w:rsidRDefault="003B06B0" w:rsidP="003B06B0">
      <w:pPr>
        <w:pStyle w:val="Heading1"/>
        <w:bidi/>
        <w:spacing w:before="7" w:line="240" w:lineRule="auto"/>
        <w:ind w:left="193" w:right="252"/>
        <w:jc w:val="center"/>
        <w:rPr>
          <w:rFonts w:ascii="Rockwell Extra Bold" w:hAnsi="Rockwell Extra Bold" w:hint="cs"/>
          <w:rtl/>
          <w:lang w:bidi="ar-EG"/>
        </w:rPr>
      </w:pPr>
      <w:r w:rsidRPr="0029393A">
        <w:rPr>
          <w:rFonts w:ascii="Rockwell Extra Bold" w:hAnsi="Rockwell Extra Bold"/>
        </w:rPr>
        <w:t>ABSTRACT</w:t>
      </w:r>
    </w:p>
    <w:p w:rsidR="00C83144" w:rsidRDefault="00C83144" w:rsidP="003B06B0">
      <w:pPr>
        <w:bidi w:val="0"/>
        <w:spacing w:after="0"/>
        <w:ind w:left="-567" w:right="-483"/>
        <w:jc w:val="both"/>
        <w:rPr>
          <w:rFonts w:ascii="Times New Roman" w:eastAsia="Times New Roman" w:hAnsi="Times New Roman" w:cs="Times New Roman"/>
          <w:i/>
          <w:sz w:val="28"/>
        </w:rPr>
      </w:pPr>
      <w:r w:rsidRPr="002B6B72">
        <w:rPr>
          <w:rFonts w:ascii="Times New Roman" w:eastAsia="Times New Roman" w:hAnsi="Times New Roman" w:cs="Times New Roman"/>
          <w:b/>
          <w:bCs/>
          <w:i/>
          <w:sz w:val="32"/>
          <w:szCs w:val="32"/>
        </w:rPr>
        <w:t>Background:</w:t>
      </w:r>
      <w:r w:rsidRPr="00A035C7">
        <w:rPr>
          <w:rFonts w:ascii="Times New Roman" w:eastAsia="Times New Roman" w:hAnsi="Times New Roman" w:cs="Times New Roman"/>
          <w:i/>
          <w:sz w:val="28"/>
        </w:rPr>
        <w:t xml:space="preserve"> The development of left ventricular dysfunction after mitral valve replacement is a common problem in patients with chronic severe mitral regurgitation. Assessment of myocardial deformation enables myocardial contracti</w:t>
      </w:r>
      <w:r>
        <w:rPr>
          <w:rFonts w:ascii="Times New Roman" w:eastAsia="Times New Roman" w:hAnsi="Times New Roman" w:cs="Times New Roman"/>
          <w:i/>
          <w:sz w:val="28"/>
        </w:rPr>
        <w:t>lity to be accurately estimated</w:t>
      </w:r>
      <w:r w:rsidRPr="00A035C7">
        <w:rPr>
          <w:rFonts w:ascii="Times New Roman" w:eastAsia="Times New Roman" w:hAnsi="Times New Roman" w:cs="Times New Roman"/>
          <w:i/>
          <w:sz w:val="28"/>
        </w:rPr>
        <w:t>.</w:t>
      </w:r>
    </w:p>
    <w:p w:rsidR="00C83144" w:rsidRDefault="00C83144" w:rsidP="00C83144">
      <w:pPr>
        <w:bidi w:val="0"/>
        <w:spacing w:after="0"/>
        <w:ind w:left="-567" w:right="-483"/>
        <w:jc w:val="both"/>
        <w:rPr>
          <w:rFonts w:ascii="Times New Roman" w:eastAsia="Times New Roman" w:hAnsi="Times New Roman" w:cs="Times New Roman"/>
          <w:i/>
          <w:sz w:val="28"/>
        </w:rPr>
      </w:pPr>
      <w:r w:rsidRPr="002B6B72">
        <w:rPr>
          <w:rFonts w:ascii="Times New Roman" w:eastAsia="Times New Roman" w:hAnsi="Times New Roman" w:cs="Times New Roman"/>
          <w:b/>
          <w:bCs/>
          <w:i/>
          <w:sz w:val="32"/>
          <w:szCs w:val="32"/>
        </w:rPr>
        <w:t>Objectives:</w:t>
      </w:r>
      <w:r w:rsidRPr="00A035C7">
        <w:rPr>
          <w:rFonts w:ascii="Times New Roman" w:eastAsia="Times New Roman" w:hAnsi="Times New Roman" w:cs="Times New Roman"/>
          <w:i/>
          <w:sz w:val="28"/>
        </w:rPr>
        <w:t xml:space="preserve"> The aim of the work was designed to predict the value of the preoperative strain and strain rate derived by speckle-tracking echocardiography to detect the medium-term decrease in left ventricular ejection fraction (LVEF) following mitral valve replacement. </w:t>
      </w:r>
      <w:r w:rsidRPr="002B6B72">
        <w:rPr>
          <w:rFonts w:ascii="Times New Roman" w:eastAsia="Times New Roman" w:hAnsi="Times New Roman" w:cs="Times New Roman"/>
          <w:b/>
          <w:bCs/>
          <w:i/>
          <w:sz w:val="32"/>
          <w:szCs w:val="32"/>
        </w:rPr>
        <w:t>Patients and methods</w:t>
      </w:r>
      <w:r w:rsidRPr="002B6B72">
        <w:rPr>
          <w:rFonts w:ascii="Times New Roman" w:eastAsia="Times New Roman" w:hAnsi="Times New Roman" w:cs="Times New Roman"/>
          <w:i/>
          <w:sz w:val="32"/>
          <w:szCs w:val="32"/>
        </w:rPr>
        <w:t>:</w:t>
      </w:r>
      <w:r w:rsidRPr="00A035C7">
        <w:rPr>
          <w:rFonts w:ascii="Times New Roman" w:eastAsia="Times New Roman" w:hAnsi="Times New Roman" w:cs="Times New Roman"/>
          <w:i/>
          <w:sz w:val="28"/>
        </w:rPr>
        <w:t xml:space="preserve"> This prospective study involved 40 Selected  patients with chronic severe mitral regurgitation who were scheduled for mitral valve </w:t>
      </w:r>
      <w:proofErr w:type="spellStart"/>
      <w:r w:rsidRPr="00A035C7">
        <w:rPr>
          <w:rFonts w:ascii="Times New Roman" w:eastAsia="Times New Roman" w:hAnsi="Times New Roman" w:cs="Times New Roman"/>
          <w:i/>
          <w:sz w:val="28"/>
        </w:rPr>
        <w:t>replacement.The</w:t>
      </w:r>
      <w:proofErr w:type="spellEnd"/>
      <w:r w:rsidRPr="00A035C7">
        <w:rPr>
          <w:rFonts w:ascii="Times New Roman" w:eastAsia="Times New Roman" w:hAnsi="Times New Roman" w:cs="Times New Roman"/>
          <w:i/>
          <w:sz w:val="28"/>
        </w:rPr>
        <w:t xml:space="preserve"> global longitudinal strain of LV and longitudinal strain of LAX,4 Ch and 2Ch and   longitudinal strain and strain rate at the </w:t>
      </w:r>
      <w:proofErr w:type="spellStart"/>
      <w:r w:rsidRPr="00A035C7">
        <w:rPr>
          <w:rFonts w:ascii="Times New Roman" w:eastAsia="Times New Roman" w:hAnsi="Times New Roman" w:cs="Times New Roman"/>
          <w:i/>
          <w:sz w:val="28"/>
        </w:rPr>
        <w:t>interventricular</w:t>
      </w:r>
      <w:proofErr w:type="spellEnd"/>
      <w:r w:rsidRPr="00A035C7">
        <w:rPr>
          <w:rFonts w:ascii="Times New Roman" w:eastAsia="Times New Roman" w:hAnsi="Times New Roman" w:cs="Times New Roman"/>
          <w:i/>
          <w:sz w:val="28"/>
        </w:rPr>
        <w:t xml:space="preserve"> septum were measured preoperatively using speckle-tracking echocardiography. The LVEF was determined preoperatively and postoperatively using 3-dimensional echocardiography. Echocardiographic assessments were performed in the 48 hours prior to surgery and 6 months postoperatively.</w:t>
      </w:r>
      <w:r>
        <w:rPr>
          <w:rFonts w:ascii="Times New Roman" w:eastAsia="Times New Roman" w:hAnsi="Times New Roman" w:cs="Times New Roman"/>
          <w:b/>
          <w:bCs/>
          <w:i/>
          <w:sz w:val="28"/>
        </w:rPr>
        <w:t xml:space="preserve"> </w:t>
      </w:r>
      <w:r w:rsidRPr="002B6B72">
        <w:rPr>
          <w:rFonts w:ascii="Times New Roman" w:eastAsia="Times New Roman" w:hAnsi="Times New Roman" w:cs="Times New Roman"/>
          <w:b/>
          <w:bCs/>
          <w:i/>
          <w:sz w:val="32"/>
          <w:szCs w:val="32"/>
        </w:rPr>
        <w:t>Results:</w:t>
      </w:r>
      <w:r w:rsidRPr="00A035C7">
        <w:rPr>
          <w:rFonts w:ascii="Times New Roman" w:eastAsia="Times New Roman" w:hAnsi="Times New Roman" w:cs="Times New Roman"/>
          <w:i/>
          <w:sz w:val="28"/>
        </w:rPr>
        <w:t xml:space="preserve"> Preoperative speckle tracking–derived global longitudinal strain and longitudinal strain and strain rate values at the level of the IVS strongly predicted a postoperative LVEF decrease of &gt;10%. Their predictive values were greater than those obtained for preoperative LV volumes and LVEF. The best </w:t>
      </w:r>
      <w:proofErr w:type="spellStart"/>
      <w:r w:rsidRPr="00A035C7">
        <w:rPr>
          <w:rFonts w:ascii="Times New Roman" w:eastAsia="Times New Roman" w:hAnsi="Times New Roman" w:cs="Times New Roman"/>
          <w:i/>
          <w:sz w:val="28"/>
        </w:rPr>
        <w:t>discriminant</w:t>
      </w:r>
      <w:proofErr w:type="spellEnd"/>
      <w:r w:rsidRPr="00A035C7">
        <w:rPr>
          <w:rFonts w:ascii="Times New Roman" w:eastAsia="Times New Roman" w:hAnsi="Times New Roman" w:cs="Times New Roman"/>
          <w:i/>
          <w:sz w:val="28"/>
        </w:rPr>
        <w:t xml:space="preserve"> parameter to detect a postoperative LVEF reduction of &gt;10% with speckle tracking was a longitudinal strain rate at the level of the mid IVS &gt; – 1.04 (area under the receiver operating characteristic curve, 1, sensi</w:t>
      </w:r>
      <w:r>
        <w:rPr>
          <w:rFonts w:ascii="Times New Roman" w:eastAsia="Times New Roman" w:hAnsi="Times New Roman" w:cs="Times New Roman"/>
          <w:i/>
          <w:sz w:val="28"/>
        </w:rPr>
        <w:t>tivity, 100%, specificity, 100%</w:t>
      </w:r>
      <w:r w:rsidRPr="00A035C7">
        <w:rPr>
          <w:rFonts w:ascii="Times New Roman" w:eastAsia="Times New Roman" w:hAnsi="Times New Roman" w:cs="Times New Roman"/>
          <w:i/>
          <w:sz w:val="28"/>
        </w:rPr>
        <w:t>).</w:t>
      </w:r>
      <w:r>
        <w:rPr>
          <w:rFonts w:ascii="Times New Roman" w:eastAsia="Times New Roman" w:hAnsi="Times New Roman" w:cs="Times New Roman"/>
          <w:i/>
          <w:sz w:val="28"/>
        </w:rPr>
        <w:t xml:space="preserve"> </w:t>
      </w:r>
      <w:r w:rsidRPr="002B6B72">
        <w:rPr>
          <w:rFonts w:ascii="Times New Roman" w:eastAsia="Times New Roman" w:hAnsi="Times New Roman" w:cs="Times New Roman"/>
          <w:b/>
          <w:bCs/>
          <w:i/>
          <w:sz w:val="32"/>
          <w:szCs w:val="32"/>
        </w:rPr>
        <w:t>Conclusion:</w:t>
      </w:r>
      <w:r w:rsidRPr="00A035C7">
        <w:rPr>
          <w:rFonts w:ascii="Times New Roman" w:eastAsia="Times New Roman" w:hAnsi="Times New Roman" w:cs="Times New Roman"/>
          <w:i/>
          <w:sz w:val="28"/>
        </w:rPr>
        <w:t xml:space="preserve"> Global longitudinal speckle tracking–derived strain and IVS longitudinal speckle tracking–derived strain and strain rate allow the accurate detection of early abnormalities in LV contractile function. It is a powerful predictor of early postoperative LVEF decreases in patients with chronic severe MR. Furthermore, This new tool might assist clinicians in the optimal timing of surgery in patients with chronic severe MR.</w:t>
      </w:r>
    </w:p>
    <w:p w:rsidR="006D1FF9" w:rsidRDefault="006D1FF9" w:rsidP="00C83144">
      <w:pPr>
        <w:bidi w:val="0"/>
        <w:rPr>
          <w:lang w:bidi="ar-EG"/>
        </w:rPr>
      </w:pPr>
    </w:p>
    <w:sectPr w:rsidR="006D1FF9" w:rsidSect="0052047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Rockwell Extra Bold">
    <w:panose1 w:val="02060903040505020403"/>
    <w:charset w:val="00"/>
    <w:family w:val="roman"/>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useFELayout/>
  </w:compat>
  <w:rsids>
    <w:rsidRoot w:val="00C83144"/>
    <w:rsid w:val="003B06B0"/>
    <w:rsid w:val="00520473"/>
    <w:rsid w:val="006D1FF9"/>
    <w:rsid w:val="00C8314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473"/>
    <w:pPr>
      <w:bidi/>
    </w:pPr>
  </w:style>
  <w:style w:type="paragraph" w:styleId="Heading1">
    <w:name w:val="heading 1"/>
    <w:basedOn w:val="Normal"/>
    <w:link w:val="Heading1Char"/>
    <w:uiPriority w:val="1"/>
    <w:qFormat/>
    <w:rsid w:val="003B06B0"/>
    <w:pPr>
      <w:widowControl w:val="0"/>
      <w:bidi w:val="0"/>
      <w:spacing w:after="0" w:line="319" w:lineRule="exact"/>
      <w:ind w:left="247"/>
      <w:outlineLvl w:val="0"/>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B06B0"/>
    <w:rPr>
      <w:rFonts w:ascii="Times New Roman" w:eastAsia="Times New Roman" w:hAnsi="Times New Roman" w:cs="Times New Roman"/>
      <w:b/>
      <w:bCs/>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355</Words>
  <Characters>2029</Characters>
  <Application>Microsoft Office Word</Application>
  <DocSecurity>0</DocSecurity>
  <Lines>16</Lines>
  <Paragraphs>4</Paragraphs>
  <ScaleCrop>false</ScaleCrop>
  <Company>Grizli777</Company>
  <LinksUpToDate>false</LinksUpToDate>
  <CharactersWithSpaces>2380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Agnaden</dc:creator>
  <cp:keywords/>
  <dc:description/>
  <cp:lastModifiedBy>Agnaden</cp:lastModifiedBy>
  <cp:revision>3</cp:revision>
  <cp:lastPrinted>2017-05-07T19:37:00Z</cp:lastPrinted>
  <dcterms:created xsi:type="dcterms:W3CDTF">2017-05-07T19:36:00Z</dcterms:created>
  <dcterms:modified xsi:type="dcterms:W3CDTF">2017-07-04T22:50:00Z</dcterms:modified>
</cp:coreProperties>
</file>