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0513E" w14:textId="77777777" w:rsidR="00AE3E37" w:rsidRDefault="002640A7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Non-medicated Childbirth in a Tertiary Medical Center:</w:t>
      </w:r>
    </w:p>
    <w:p w14:paraId="53B98154" w14:textId="77777777" w:rsidR="002640A7" w:rsidRDefault="002640A7" w:rsidP="00494130">
      <w:pPr>
        <w:pStyle w:val="Heading1"/>
        <w:spacing w:before="170"/>
        <w:ind w:left="0"/>
      </w:pPr>
      <w:r>
        <w:rPr>
          <w:color w:val="337AB7"/>
        </w:rPr>
        <w:t>A survey of Attitudes among Obstetricians</w:t>
      </w:r>
    </w:p>
    <w:p w14:paraId="0EA34A23" w14:textId="77777777" w:rsidR="005973B9" w:rsidRDefault="002640A7" w:rsidP="002640A7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Ma. Kristina A. Quetulio, Dr. Joanna B. Rey-</w:t>
      </w:r>
      <w:proofErr w:type="spellStart"/>
      <w:r>
        <w:rPr>
          <w:rFonts w:ascii="Arial"/>
        </w:rPr>
        <w:t>Matias</w:t>
      </w:r>
      <w:proofErr w:type="spellEnd"/>
      <w:r>
        <w:rPr>
          <w:rFonts w:ascii="Arial"/>
        </w:rPr>
        <w:t xml:space="preserve"> and Dr. Gay Luz M. </w:t>
      </w:r>
      <w:proofErr w:type="spellStart"/>
      <w:r>
        <w:rPr>
          <w:rFonts w:ascii="Arial"/>
        </w:rPr>
        <w:t>Talapian</w:t>
      </w:r>
      <w:proofErr w:type="spellEnd"/>
    </w:p>
    <w:p w14:paraId="295FD34B" w14:textId="77777777" w:rsidR="00AE3E37" w:rsidRDefault="00AE3E37">
      <w:pPr>
        <w:pStyle w:val="BodyText"/>
        <w:rPr>
          <w:rFonts w:ascii="Arial"/>
          <w:sz w:val="20"/>
        </w:rPr>
      </w:pPr>
    </w:p>
    <w:p w14:paraId="5C39AF06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BFC5DA9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BA1E621" w14:textId="77777777" w:rsidR="00AE3E37" w:rsidRDefault="002640A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5D062946" w14:textId="77777777" w:rsidR="002640A7" w:rsidRDefault="002640A7" w:rsidP="002640A7">
      <w:pPr>
        <w:ind w:firstLine="708"/>
        <w:jc w:val="both"/>
        <w:rPr>
          <w:rFonts w:eastAsia="Arial" w:cs="Arial"/>
          <w:color w:val="000000"/>
          <w:sz w:val="18"/>
          <w:szCs w:val="18"/>
        </w:rPr>
      </w:pPr>
    </w:p>
    <w:p w14:paraId="506A3F7D" w14:textId="77777777" w:rsidR="007356FE" w:rsidRDefault="002640A7" w:rsidP="002640A7">
      <w:pPr>
        <w:spacing w:line="360" w:lineRule="auto"/>
        <w:ind w:firstLine="706"/>
        <w:jc w:val="both"/>
        <w:rPr>
          <w:rFonts w:cs="Arial"/>
          <w:sz w:val="18"/>
          <w:szCs w:val="18"/>
        </w:rPr>
      </w:pPr>
      <w:r w:rsidRPr="00554E66">
        <w:rPr>
          <w:rFonts w:eastAsia="Arial" w:cs="Arial"/>
          <w:color w:val="000000"/>
          <w:sz w:val="18"/>
          <w:szCs w:val="18"/>
        </w:rPr>
        <w:t xml:space="preserve">Non-medicated childbirth has positive empowering experience for the patients. However, according to studies only few patients undergo non-medicated childbirth. </w:t>
      </w:r>
      <w:r w:rsidRPr="00554E66">
        <w:rPr>
          <w:rFonts w:eastAsia="Arial" w:cs="Arial"/>
          <w:color w:val="231F20"/>
          <w:sz w:val="18"/>
          <w:szCs w:val="18"/>
        </w:rPr>
        <w:t xml:space="preserve">This was a qualitative study survey exploring the attitudes on non-medicated natural childbirth among </w:t>
      </w:r>
      <w:r w:rsidRPr="00554E66">
        <w:rPr>
          <w:rFonts w:eastAsia="Arial" w:cs="Arial"/>
          <w:color w:val="000000"/>
          <w:sz w:val="18"/>
          <w:szCs w:val="18"/>
        </w:rPr>
        <w:t xml:space="preserve">obstetricians practicing at a tertiary medical center. Most of the participants believed that they were educated on non-medicated childbirth, however, less than half of the participants </w:t>
      </w:r>
      <w:r w:rsidRPr="00554E66">
        <w:rPr>
          <w:rFonts w:cs="Arial"/>
          <w:sz w:val="18"/>
          <w:szCs w:val="18"/>
        </w:rPr>
        <w:t>routinely discussed it to their patients and can convince to undergo non-medicated childbirth. Factors such as knowledge on alternative methods, demand of time, decision-making, availability of birth facilities, influence of birth companions and malpractice litigations, all contributed to obstetricians’ attitude on non-medicated childbirth.</w:t>
      </w:r>
      <w:r w:rsidR="007356FE">
        <w:rPr>
          <w:rFonts w:cs="Arial"/>
          <w:sz w:val="18"/>
          <w:szCs w:val="18"/>
        </w:rPr>
        <w:t xml:space="preserve"> </w:t>
      </w:r>
    </w:p>
    <w:p w14:paraId="17128F2E" w14:textId="77777777" w:rsidR="002640A7" w:rsidRDefault="007356FE" w:rsidP="007356FE">
      <w:pPr>
        <w:spacing w:line="360" w:lineRule="auto"/>
        <w:jc w:val="both"/>
        <w:rPr>
          <w:rFonts w:cs="Arial"/>
          <w:sz w:val="18"/>
          <w:szCs w:val="18"/>
        </w:rPr>
      </w:pPr>
      <w:r w:rsidRPr="007356FE">
        <w:rPr>
          <w:rFonts w:cs="Arial"/>
          <w:sz w:val="18"/>
          <w:szCs w:val="18"/>
        </w:rPr>
        <w:drawing>
          <wp:inline distT="0" distB="0" distL="0" distR="0" wp14:anchorId="7603F148" wp14:editId="104C46CD">
            <wp:extent cx="1099936" cy="1385616"/>
            <wp:effectExtent l="0" t="0" r="0" b="11430"/>
            <wp:docPr id="12" name="Picture 13" descr="Fig 1 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Fig 1 pie.png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4" r="24012"/>
                    <a:stretch/>
                  </pic:blipFill>
                  <pic:spPr>
                    <a:xfrm>
                      <a:off x="0" y="0"/>
                      <a:ext cx="1099936" cy="138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0A7">
        <w:rPr>
          <w:rFonts w:cs="Arial"/>
          <w:sz w:val="18"/>
          <w:szCs w:val="18"/>
          <w:lang w:val="it-IT"/>
        </w:rPr>
        <w:drawing>
          <wp:inline distT="0" distB="0" distL="0" distR="0" wp14:anchorId="5944F2D3" wp14:editId="45246603">
            <wp:extent cx="1912206" cy="1384935"/>
            <wp:effectExtent l="0" t="0" r="0" b="12065"/>
            <wp:docPr id="4" name="Picture 14" descr="Fi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Fig 2.pn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4" r="6198"/>
                    <a:stretch/>
                  </pic:blipFill>
                  <pic:spPr bwMode="auto">
                    <a:xfrm>
                      <a:off x="0" y="0"/>
                      <a:ext cx="1913149" cy="1385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B9959" w14:textId="77777777" w:rsidR="005973B9" w:rsidRPr="002640A7" w:rsidRDefault="005973B9" w:rsidP="007356FE">
      <w:pPr>
        <w:pStyle w:val="Heading3"/>
        <w:spacing w:before="74"/>
        <w:ind w:left="0"/>
      </w:pPr>
      <w:r>
        <w:rPr>
          <w:color w:val="BF5A14"/>
        </w:rPr>
        <w:lastRenderedPageBreak/>
        <w:t>Recent Publications</w:t>
      </w:r>
    </w:p>
    <w:p w14:paraId="5E06C9AA" w14:textId="77777777" w:rsidR="002640A7" w:rsidRPr="002640A7" w:rsidRDefault="002640A7" w:rsidP="002640A7">
      <w:pPr>
        <w:numPr>
          <w:ilvl w:val="0"/>
          <w:numId w:val="4"/>
        </w:numPr>
        <w:tabs>
          <w:tab w:val="left" w:pos="384"/>
        </w:tabs>
        <w:ind w:right="117"/>
        <w:rPr>
          <w:rFonts w:eastAsia="Calibri" w:cs="Calibri"/>
          <w:sz w:val="18"/>
          <w:szCs w:val="18"/>
        </w:rPr>
      </w:pPr>
      <w:proofErr w:type="spellStart"/>
      <w:r w:rsidRPr="002640A7">
        <w:rPr>
          <w:rFonts w:eastAsia="Calibri" w:cs="Calibri"/>
          <w:sz w:val="18"/>
          <w:szCs w:val="18"/>
        </w:rPr>
        <w:t>Kabakian-Khasholian</w:t>
      </w:r>
      <w:proofErr w:type="spellEnd"/>
      <w:r w:rsidRPr="002640A7">
        <w:rPr>
          <w:rFonts w:eastAsia="Calibri" w:cs="Calibri"/>
          <w:sz w:val="18"/>
          <w:szCs w:val="18"/>
        </w:rPr>
        <w:t>, T., El-</w:t>
      </w:r>
      <w:proofErr w:type="spellStart"/>
      <w:r w:rsidRPr="002640A7">
        <w:rPr>
          <w:rFonts w:eastAsia="Calibri" w:cs="Calibri"/>
          <w:sz w:val="18"/>
          <w:szCs w:val="18"/>
        </w:rPr>
        <w:t>Nemer</w:t>
      </w:r>
      <w:proofErr w:type="spellEnd"/>
      <w:r w:rsidRPr="002640A7">
        <w:rPr>
          <w:rFonts w:eastAsia="Calibri" w:cs="Calibri"/>
          <w:sz w:val="18"/>
          <w:szCs w:val="18"/>
        </w:rPr>
        <w:t xml:space="preserve">, A., &amp; </w:t>
      </w:r>
      <w:proofErr w:type="spellStart"/>
      <w:r w:rsidRPr="002640A7">
        <w:rPr>
          <w:rFonts w:eastAsia="Calibri" w:cs="Calibri"/>
          <w:sz w:val="18"/>
          <w:szCs w:val="18"/>
        </w:rPr>
        <w:t>Bashour</w:t>
      </w:r>
      <w:proofErr w:type="spellEnd"/>
      <w:r w:rsidRPr="002640A7">
        <w:rPr>
          <w:rFonts w:eastAsia="Calibri" w:cs="Calibri"/>
          <w:sz w:val="18"/>
          <w:szCs w:val="18"/>
        </w:rPr>
        <w:t>, H. (2015). Perceptions about labor companionship at public teaching hospitals in three Arab countries. International Journal of Gynecology &amp; Obstetrics</w:t>
      </w:r>
      <w:proofErr w:type="gramStart"/>
      <w:r w:rsidRPr="002640A7">
        <w:rPr>
          <w:rFonts w:eastAsia="Calibri" w:cs="Calibri"/>
          <w:sz w:val="18"/>
          <w:szCs w:val="18"/>
        </w:rPr>
        <w:t>,129</w:t>
      </w:r>
      <w:proofErr w:type="gramEnd"/>
      <w:r w:rsidRPr="002640A7">
        <w:rPr>
          <w:rFonts w:eastAsia="Calibri" w:cs="Calibri"/>
          <w:sz w:val="18"/>
          <w:szCs w:val="18"/>
        </w:rPr>
        <w:t xml:space="preserve">(3), 223-226. </w:t>
      </w:r>
      <w:proofErr w:type="gramStart"/>
      <w:r w:rsidRPr="002640A7">
        <w:rPr>
          <w:rFonts w:eastAsia="Calibri" w:cs="Calibri"/>
          <w:sz w:val="18"/>
          <w:szCs w:val="18"/>
        </w:rPr>
        <w:t>doi:10.1016</w:t>
      </w:r>
      <w:proofErr w:type="gramEnd"/>
      <w:r w:rsidRPr="002640A7">
        <w:rPr>
          <w:rFonts w:eastAsia="Calibri" w:cs="Calibri"/>
          <w:sz w:val="18"/>
          <w:szCs w:val="18"/>
        </w:rPr>
        <w:t>/j.ijgo.2014.12.005</w:t>
      </w:r>
    </w:p>
    <w:p w14:paraId="457372E6" w14:textId="77777777" w:rsidR="002640A7" w:rsidRPr="002640A7" w:rsidRDefault="002640A7" w:rsidP="002640A7">
      <w:pPr>
        <w:pStyle w:val="normal0"/>
        <w:numPr>
          <w:ilvl w:val="0"/>
          <w:numId w:val="4"/>
        </w:numPr>
        <w:jc w:val="both"/>
        <w:rPr>
          <w:rFonts w:ascii="Tw Cen MT" w:eastAsia="Arial" w:hAnsi="Tw Cen MT" w:cs="Arial"/>
          <w:sz w:val="18"/>
          <w:szCs w:val="18"/>
          <w:highlight w:val="white"/>
        </w:rPr>
      </w:pPr>
      <w:r w:rsidRPr="002640A7">
        <w:rPr>
          <w:rFonts w:ascii="Tw Cen MT" w:eastAsia="Arial" w:hAnsi="Tw Cen MT" w:cs="Arial"/>
          <w:sz w:val="18"/>
          <w:szCs w:val="18"/>
          <w:highlight w:val="white"/>
        </w:rPr>
        <w:t xml:space="preserve">Wagner, M. (2001). Fish </w:t>
      </w:r>
      <w:proofErr w:type="gramStart"/>
      <w:r w:rsidRPr="002640A7">
        <w:rPr>
          <w:rFonts w:ascii="Tw Cen MT" w:eastAsia="Arial" w:hAnsi="Tw Cen MT" w:cs="Arial"/>
          <w:sz w:val="18"/>
          <w:szCs w:val="18"/>
          <w:highlight w:val="white"/>
        </w:rPr>
        <w:t>cant</w:t>
      </w:r>
      <w:proofErr w:type="gramEnd"/>
      <w:r w:rsidRPr="002640A7">
        <w:rPr>
          <w:rFonts w:ascii="Tw Cen MT" w:eastAsia="Arial" w:hAnsi="Tw Cen MT" w:cs="Arial"/>
          <w:sz w:val="18"/>
          <w:szCs w:val="18"/>
          <w:highlight w:val="white"/>
        </w:rPr>
        <w:t xml:space="preserve"> see water: The need to humanize birth. </w:t>
      </w:r>
      <w:r w:rsidRPr="002640A7">
        <w:rPr>
          <w:rFonts w:ascii="Tw Cen MT" w:eastAsia="Arial" w:hAnsi="Tw Cen MT" w:cs="Arial"/>
          <w:i/>
          <w:sz w:val="18"/>
          <w:szCs w:val="18"/>
        </w:rPr>
        <w:t>International Journal of Gynecology &amp; Obstetrics</w:t>
      </w:r>
      <w:proofErr w:type="gramStart"/>
      <w:r w:rsidRPr="002640A7">
        <w:rPr>
          <w:rFonts w:ascii="Tw Cen MT" w:eastAsia="Arial" w:hAnsi="Tw Cen MT" w:cs="Arial"/>
          <w:i/>
          <w:sz w:val="18"/>
          <w:szCs w:val="18"/>
        </w:rPr>
        <w:t>,75</w:t>
      </w:r>
      <w:proofErr w:type="gramEnd"/>
      <w:r w:rsidRPr="002640A7">
        <w:rPr>
          <w:rFonts w:ascii="Tw Cen MT" w:eastAsia="Arial" w:hAnsi="Tw Cen MT" w:cs="Arial"/>
          <w:sz w:val="18"/>
          <w:szCs w:val="18"/>
          <w:highlight w:val="white"/>
        </w:rPr>
        <w:t xml:space="preserve">. </w:t>
      </w:r>
      <w:proofErr w:type="gramStart"/>
      <w:r w:rsidRPr="002640A7">
        <w:rPr>
          <w:rFonts w:ascii="Tw Cen MT" w:eastAsia="Arial" w:hAnsi="Tw Cen MT" w:cs="Arial"/>
          <w:sz w:val="18"/>
          <w:szCs w:val="18"/>
          <w:highlight w:val="white"/>
        </w:rPr>
        <w:t>doi:10.1016</w:t>
      </w:r>
      <w:proofErr w:type="gramEnd"/>
      <w:r w:rsidRPr="002640A7">
        <w:rPr>
          <w:rFonts w:ascii="Tw Cen MT" w:eastAsia="Arial" w:hAnsi="Tw Cen MT" w:cs="Arial"/>
          <w:sz w:val="18"/>
          <w:szCs w:val="18"/>
          <w:highlight w:val="white"/>
        </w:rPr>
        <w:t>/s0020-7292(01)00519-7</w:t>
      </w:r>
    </w:p>
    <w:p w14:paraId="790BA9DB" w14:textId="77777777" w:rsidR="002640A7" w:rsidRPr="002640A7" w:rsidRDefault="002640A7" w:rsidP="002640A7">
      <w:pPr>
        <w:numPr>
          <w:ilvl w:val="0"/>
          <w:numId w:val="4"/>
        </w:numPr>
        <w:tabs>
          <w:tab w:val="left" w:pos="384"/>
        </w:tabs>
        <w:ind w:right="117"/>
        <w:rPr>
          <w:rFonts w:eastAsia="Calibri" w:cs="Calibri"/>
          <w:sz w:val="18"/>
          <w:szCs w:val="18"/>
        </w:rPr>
      </w:pPr>
      <w:proofErr w:type="spellStart"/>
      <w:r w:rsidRPr="002640A7">
        <w:rPr>
          <w:rFonts w:eastAsia="Arial" w:cs="Arial"/>
          <w:sz w:val="18"/>
          <w:szCs w:val="18"/>
          <w:highlight w:val="white"/>
        </w:rPr>
        <w:t>Behruzi</w:t>
      </w:r>
      <w:proofErr w:type="spellEnd"/>
      <w:r w:rsidRPr="002640A7">
        <w:rPr>
          <w:rFonts w:eastAsia="Arial" w:cs="Arial"/>
          <w:sz w:val="18"/>
          <w:szCs w:val="18"/>
          <w:highlight w:val="white"/>
        </w:rPr>
        <w:t xml:space="preserve">, R., </w:t>
      </w:r>
      <w:proofErr w:type="spellStart"/>
      <w:r w:rsidRPr="002640A7">
        <w:rPr>
          <w:rFonts w:eastAsia="Arial" w:cs="Arial"/>
          <w:sz w:val="18"/>
          <w:szCs w:val="18"/>
          <w:highlight w:val="white"/>
        </w:rPr>
        <w:t>Hatem</w:t>
      </w:r>
      <w:proofErr w:type="spellEnd"/>
      <w:r w:rsidRPr="002640A7">
        <w:rPr>
          <w:rFonts w:eastAsia="Arial" w:cs="Arial"/>
          <w:sz w:val="18"/>
          <w:szCs w:val="18"/>
          <w:highlight w:val="white"/>
        </w:rPr>
        <w:t xml:space="preserve">, M., Fraser, W., </w:t>
      </w:r>
      <w:proofErr w:type="spellStart"/>
      <w:r w:rsidRPr="002640A7">
        <w:rPr>
          <w:rFonts w:eastAsia="Arial" w:cs="Arial"/>
          <w:sz w:val="18"/>
          <w:szCs w:val="18"/>
          <w:highlight w:val="white"/>
        </w:rPr>
        <w:t>Goulet</w:t>
      </w:r>
      <w:proofErr w:type="spellEnd"/>
      <w:r w:rsidRPr="002640A7">
        <w:rPr>
          <w:rFonts w:eastAsia="Arial" w:cs="Arial"/>
          <w:sz w:val="18"/>
          <w:szCs w:val="18"/>
          <w:highlight w:val="white"/>
        </w:rPr>
        <w:t xml:space="preserve">, L., Ii, M., &amp; </w:t>
      </w:r>
      <w:proofErr w:type="spellStart"/>
      <w:r w:rsidRPr="002640A7">
        <w:rPr>
          <w:rFonts w:eastAsia="Arial" w:cs="Arial"/>
          <w:sz w:val="18"/>
          <w:szCs w:val="18"/>
          <w:highlight w:val="white"/>
        </w:rPr>
        <w:t>Misago</w:t>
      </w:r>
      <w:proofErr w:type="spellEnd"/>
      <w:r w:rsidRPr="002640A7">
        <w:rPr>
          <w:rFonts w:eastAsia="Arial" w:cs="Arial"/>
          <w:sz w:val="18"/>
          <w:szCs w:val="18"/>
          <w:highlight w:val="white"/>
        </w:rPr>
        <w:t xml:space="preserve">, C. (2010). Facilitators and barriers in the humanization of childbirth practice in Japan. </w:t>
      </w:r>
      <w:r w:rsidRPr="002640A7">
        <w:rPr>
          <w:rFonts w:eastAsia="Arial" w:cs="Arial"/>
          <w:i/>
          <w:sz w:val="18"/>
          <w:szCs w:val="18"/>
        </w:rPr>
        <w:t>BMC Pregnancy and Childbirth</w:t>
      </w:r>
      <w:proofErr w:type="gramStart"/>
      <w:r w:rsidRPr="002640A7">
        <w:rPr>
          <w:rFonts w:eastAsia="Arial" w:cs="Arial"/>
          <w:i/>
          <w:sz w:val="18"/>
          <w:szCs w:val="18"/>
        </w:rPr>
        <w:t>,10</w:t>
      </w:r>
      <w:proofErr w:type="gramEnd"/>
      <w:r w:rsidRPr="002640A7">
        <w:rPr>
          <w:rFonts w:eastAsia="Arial" w:cs="Arial"/>
          <w:sz w:val="18"/>
          <w:szCs w:val="18"/>
          <w:highlight w:val="white"/>
        </w:rPr>
        <w:t xml:space="preserve">(1). </w:t>
      </w:r>
      <w:proofErr w:type="gramStart"/>
      <w:r w:rsidRPr="002640A7">
        <w:rPr>
          <w:rFonts w:eastAsia="Arial" w:cs="Arial"/>
          <w:sz w:val="18"/>
          <w:szCs w:val="18"/>
          <w:highlight w:val="white"/>
        </w:rPr>
        <w:t>doi:10.1186</w:t>
      </w:r>
      <w:proofErr w:type="gramEnd"/>
      <w:r w:rsidRPr="002640A7">
        <w:rPr>
          <w:rFonts w:eastAsia="Arial" w:cs="Arial"/>
          <w:sz w:val="18"/>
          <w:szCs w:val="18"/>
          <w:highlight w:val="white"/>
        </w:rPr>
        <w:t>/1471-2393-10-25</w:t>
      </w:r>
    </w:p>
    <w:p w14:paraId="4F8041A0" w14:textId="77777777" w:rsidR="002640A7" w:rsidRPr="002640A7" w:rsidRDefault="002640A7" w:rsidP="002640A7">
      <w:pPr>
        <w:numPr>
          <w:ilvl w:val="0"/>
          <w:numId w:val="4"/>
        </w:numPr>
        <w:tabs>
          <w:tab w:val="left" w:pos="384"/>
        </w:tabs>
        <w:ind w:right="117"/>
        <w:rPr>
          <w:rFonts w:eastAsia="Calibri" w:cs="Calibri"/>
          <w:sz w:val="18"/>
          <w:szCs w:val="18"/>
        </w:rPr>
      </w:pPr>
      <w:r w:rsidRPr="002640A7">
        <w:rPr>
          <w:rFonts w:eastAsia="Arial" w:cs="Arial"/>
          <w:sz w:val="20"/>
          <w:szCs w:val="20"/>
        </w:rPr>
        <w:t>Cook, K., &amp; Loomis, C. (2012). The Impact of Choice and Control on Women’s Childbirth Experiences. The Journal of Perinatal Education</w:t>
      </w:r>
      <w:proofErr w:type="gramStart"/>
      <w:r w:rsidRPr="002640A7">
        <w:rPr>
          <w:rFonts w:eastAsia="Arial" w:cs="Arial"/>
          <w:sz w:val="20"/>
          <w:szCs w:val="20"/>
        </w:rPr>
        <w:t>,21</w:t>
      </w:r>
      <w:proofErr w:type="gramEnd"/>
      <w:r w:rsidRPr="002640A7">
        <w:rPr>
          <w:rFonts w:eastAsia="Arial" w:cs="Arial"/>
          <w:sz w:val="20"/>
          <w:szCs w:val="20"/>
        </w:rPr>
        <w:t xml:space="preserve">(3), 158-168. </w:t>
      </w:r>
      <w:proofErr w:type="gramStart"/>
      <w:r w:rsidRPr="002640A7">
        <w:rPr>
          <w:rFonts w:eastAsia="Arial" w:cs="Arial"/>
          <w:sz w:val="20"/>
          <w:szCs w:val="20"/>
        </w:rPr>
        <w:t>doi:10.1891</w:t>
      </w:r>
      <w:proofErr w:type="gramEnd"/>
      <w:r w:rsidRPr="002640A7">
        <w:rPr>
          <w:rFonts w:eastAsia="Arial" w:cs="Arial"/>
          <w:sz w:val="20"/>
          <w:szCs w:val="20"/>
        </w:rPr>
        <w:t>/1058-1243.21.3.158</w:t>
      </w:r>
    </w:p>
    <w:p w14:paraId="066275C3" w14:textId="77777777" w:rsidR="002640A7" w:rsidRPr="002640A7" w:rsidRDefault="002640A7" w:rsidP="002640A7">
      <w:pPr>
        <w:numPr>
          <w:ilvl w:val="0"/>
          <w:numId w:val="4"/>
        </w:numPr>
        <w:tabs>
          <w:tab w:val="left" w:pos="384"/>
        </w:tabs>
        <w:ind w:right="117"/>
        <w:rPr>
          <w:rFonts w:eastAsia="Calibri" w:cs="Calibri"/>
          <w:sz w:val="18"/>
          <w:szCs w:val="18"/>
        </w:rPr>
      </w:pPr>
      <w:proofErr w:type="spellStart"/>
      <w:r w:rsidRPr="002640A7">
        <w:rPr>
          <w:rFonts w:eastAsia="Calibri" w:cs="Calibri"/>
          <w:sz w:val="18"/>
          <w:szCs w:val="18"/>
        </w:rPr>
        <w:t>Hodnett</w:t>
      </w:r>
      <w:proofErr w:type="spellEnd"/>
      <w:r w:rsidRPr="002640A7">
        <w:rPr>
          <w:rFonts w:eastAsia="Calibri" w:cs="Calibri"/>
          <w:sz w:val="18"/>
          <w:szCs w:val="18"/>
        </w:rPr>
        <w:t xml:space="preserve">, E. (2002). Pain and </w:t>
      </w:r>
      <w:proofErr w:type="spellStart"/>
      <w:r w:rsidRPr="002640A7">
        <w:rPr>
          <w:rFonts w:eastAsia="Calibri" w:cs="Calibri"/>
          <w:sz w:val="18"/>
          <w:szCs w:val="18"/>
        </w:rPr>
        <w:t>womens</w:t>
      </w:r>
      <w:proofErr w:type="spellEnd"/>
      <w:r w:rsidRPr="002640A7">
        <w:rPr>
          <w:rFonts w:eastAsia="Calibri" w:cs="Calibri"/>
          <w:sz w:val="18"/>
          <w:szCs w:val="18"/>
        </w:rPr>
        <w:t xml:space="preserve"> satisfaction with the experience of childbirth: A systematic review*1. </w:t>
      </w:r>
      <w:r w:rsidRPr="002640A7">
        <w:rPr>
          <w:rFonts w:eastAsia="Calibri" w:cs="Calibri"/>
          <w:i/>
          <w:iCs/>
          <w:sz w:val="18"/>
          <w:szCs w:val="18"/>
        </w:rPr>
        <w:t>American Journal of Obstetrics and Gynecology</w:t>
      </w:r>
      <w:proofErr w:type="gramStart"/>
      <w:r w:rsidRPr="002640A7">
        <w:rPr>
          <w:rFonts w:eastAsia="Calibri" w:cs="Calibri"/>
          <w:i/>
          <w:iCs/>
          <w:sz w:val="18"/>
          <w:szCs w:val="18"/>
        </w:rPr>
        <w:t>,186</w:t>
      </w:r>
      <w:proofErr w:type="gramEnd"/>
      <w:r w:rsidRPr="002640A7">
        <w:rPr>
          <w:rFonts w:eastAsia="Calibri" w:cs="Calibri"/>
          <w:sz w:val="18"/>
          <w:szCs w:val="18"/>
        </w:rPr>
        <w:t xml:space="preserve">(5). </w:t>
      </w:r>
      <w:proofErr w:type="gramStart"/>
      <w:r w:rsidRPr="002640A7">
        <w:rPr>
          <w:rFonts w:eastAsia="Calibri" w:cs="Calibri"/>
          <w:sz w:val="18"/>
          <w:szCs w:val="18"/>
        </w:rPr>
        <w:t>doi:10.1067</w:t>
      </w:r>
      <w:proofErr w:type="gramEnd"/>
      <w:r w:rsidRPr="002640A7">
        <w:rPr>
          <w:rFonts w:eastAsia="Calibri" w:cs="Calibri"/>
          <w:sz w:val="18"/>
          <w:szCs w:val="18"/>
        </w:rPr>
        <w:t>/mob.2002.121141</w:t>
      </w:r>
    </w:p>
    <w:p w14:paraId="0A4C7D2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36912D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103756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06A675F" wp14:editId="2D0C58A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CBBC0F7" w14:textId="77777777" w:rsidR="00AE3E37" w:rsidRDefault="002640A7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B25197" wp14:editId="4CF0F3E8">
            <wp:simplePos x="0" y="0"/>
            <wp:positionH relativeFrom="column">
              <wp:posOffset>488950</wp:posOffset>
            </wp:positionH>
            <wp:positionV relativeFrom="paragraph">
              <wp:posOffset>125095</wp:posOffset>
            </wp:positionV>
            <wp:extent cx="862330" cy="989965"/>
            <wp:effectExtent l="0" t="0" r="1270" b="635"/>
            <wp:wrapThrough wrapText="bothSides">
              <wp:wrapPolygon edited="0">
                <wp:start x="0" y="0"/>
                <wp:lineTo x="0" y="21060"/>
                <wp:lineTo x="20996" y="21060"/>
                <wp:lineTo x="20996" y="0"/>
                <wp:lineTo x="0" y="0"/>
              </wp:wrapPolygon>
            </wp:wrapThrough>
            <wp:docPr id="3" name="Picture 3" descr="Description: D:\ACER\Pictures\DSC_000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:\ACER\Pictures\DSC_0002 cop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14:paraId="29E6A7B0" w14:textId="77777777" w:rsidR="007356FE" w:rsidRDefault="002640A7" w:rsidP="007356FE">
      <w:pPr>
        <w:ind w:left="720" w:right="250"/>
        <w:jc w:val="both"/>
        <w:rPr>
          <w:rFonts w:ascii="Arial" w:hAnsi="Arial" w:cs="Arial"/>
          <w:sz w:val="18"/>
          <w:szCs w:val="18"/>
        </w:rPr>
      </w:pPr>
      <w:r w:rsidRPr="002640A7">
        <w:rPr>
          <w:rFonts w:ascii="Arial" w:eastAsia="MS PGothic" w:hAnsi="Arial" w:cs="Arial"/>
          <w:color w:val="000000"/>
          <w:sz w:val="18"/>
          <w:szCs w:val="18"/>
        </w:rPr>
        <w:t>Dr. Ma. Kristina A. Quetulio</w:t>
      </w:r>
      <w:r w:rsidRPr="002640A7">
        <w:rPr>
          <w:rFonts w:ascii="Arial" w:hAnsi="Arial" w:cs="Arial"/>
          <w:sz w:val="18"/>
          <w:szCs w:val="18"/>
        </w:rPr>
        <w:t xml:space="preserve"> has completed her degree in Medicine at the age of 25 years from </w:t>
      </w:r>
      <w:r w:rsidRPr="002640A7">
        <w:rPr>
          <w:rFonts w:ascii="Arial" w:eastAsia="MS PGothic" w:hAnsi="Arial" w:cs="Arial"/>
          <w:color w:val="000000"/>
          <w:sz w:val="18"/>
          <w:szCs w:val="18"/>
        </w:rPr>
        <w:t xml:space="preserve">the University of Santo Tomas Faculty of Medicine and Surgery, Manila </w:t>
      </w:r>
      <w:r w:rsidRPr="002640A7">
        <w:rPr>
          <w:rFonts w:ascii="Arial" w:hAnsi="Arial" w:cs="Arial"/>
          <w:sz w:val="18"/>
          <w:szCs w:val="18"/>
        </w:rPr>
        <w:t xml:space="preserve">and Residency Training in Obstetrics and Gynecology at </w:t>
      </w:r>
      <w:r w:rsidRPr="002640A7">
        <w:rPr>
          <w:rFonts w:ascii="Arial" w:eastAsia="MS PGothic" w:hAnsi="Arial" w:cs="Arial"/>
          <w:color w:val="000000"/>
          <w:sz w:val="18"/>
          <w:szCs w:val="18"/>
        </w:rPr>
        <w:t>St. Luke’s Medical Center, Quezon City</w:t>
      </w:r>
      <w:r w:rsidRPr="002640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Dr. Quetulio </w:t>
      </w:r>
      <w:r w:rsidR="007356FE">
        <w:rPr>
          <w:rFonts w:ascii="Arial" w:hAnsi="Arial" w:cs="Arial"/>
          <w:sz w:val="18"/>
          <w:szCs w:val="18"/>
        </w:rPr>
        <w:t>is an advocate of</w:t>
      </w:r>
    </w:p>
    <w:p w14:paraId="10BBCA41" w14:textId="77777777" w:rsidR="002640A7" w:rsidRPr="002640A7" w:rsidRDefault="002640A7" w:rsidP="007356FE">
      <w:pPr>
        <w:ind w:left="720" w:right="25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natural</w:t>
      </w:r>
      <w:proofErr w:type="gramEnd"/>
      <w:r>
        <w:rPr>
          <w:rFonts w:ascii="Arial" w:hAnsi="Arial" w:cs="Arial"/>
          <w:sz w:val="18"/>
          <w:szCs w:val="18"/>
        </w:rPr>
        <w:t xml:space="preserve"> childbirth in her c</w:t>
      </w:r>
      <w:r w:rsidR="007356FE">
        <w:rPr>
          <w:rFonts w:ascii="Arial" w:hAnsi="Arial" w:cs="Arial"/>
          <w:sz w:val="18"/>
          <w:szCs w:val="18"/>
        </w:rPr>
        <w:t xml:space="preserve">ountry. She believes that </w:t>
      </w:r>
      <w:proofErr w:type="gramStart"/>
      <w:r w:rsidR="007356FE">
        <w:rPr>
          <w:rFonts w:ascii="Arial" w:hAnsi="Arial" w:cs="Arial"/>
          <w:sz w:val="18"/>
          <w:szCs w:val="18"/>
        </w:rPr>
        <w:t xml:space="preserve">women </w:t>
      </w:r>
      <w:r>
        <w:rPr>
          <w:rFonts w:ascii="Arial" w:hAnsi="Arial" w:cs="Arial"/>
          <w:sz w:val="18"/>
          <w:szCs w:val="18"/>
        </w:rPr>
        <w:t>has</w:t>
      </w:r>
      <w:proofErr w:type="gramEnd"/>
      <w:r>
        <w:rPr>
          <w:rFonts w:ascii="Arial" w:hAnsi="Arial" w:cs="Arial"/>
          <w:sz w:val="18"/>
          <w:szCs w:val="18"/>
        </w:rPr>
        <w:t xml:space="preserve"> the autonomy and undergoing natural childbirth is empowering to them. </w:t>
      </w:r>
    </w:p>
    <w:p w14:paraId="0F4AE5C0" w14:textId="77777777" w:rsidR="002640A7" w:rsidRPr="00554E66" w:rsidRDefault="002640A7" w:rsidP="002640A7">
      <w:pPr>
        <w:jc w:val="both"/>
        <w:rPr>
          <w:rFonts w:cs="Arial"/>
          <w:sz w:val="18"/>
          <w:szCs w:val="18"/>
          <w:lang w:val="en-NZ"/>
        </w:rPr>
      </w:pPr>
    </w:p>
    <w:p w14:paraId="475CAAD3" w14:textId="77777777" w:rsidR="002640A7" w:rsidRDefault="002640A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491243B5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bookmarkStart w:id="0" w:name="_GoBack"/>
      <w:bookmarkEnd w:id="0"/>
      <w:r>
        <w:rPr>
          <w:rFonts w:ascii="Arial"/>
          <w:sz w:val="14"/>
        </w:rPr>
        <w:t>Email:</w:t>
      </w:r>
      <w:r w:rsidR="002640A7">
        <w:rPr>
          <w:rFonts w:ascii="Arial"/>
          <w:sz w:val="14"/>
        </w:rPr>
        <w:t xml:space="preserve"> mkaquetuliomd@yahoo.com</w:t>
      </w:r>
    </w:p>
    <w:p w14:paraId="5CBC558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C9F441" wp14:editId="28AC4DD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02A605B" w14:textId="77777777" w:rsidR="00AE3E37" w:rsidRDefault="00AE3E37">
      <w:pPr>
        <w:pStyle w:val="BodyText"/>
        <w:rPr>
          <w:rFonts w:ascii="Arial"/>
          <w:sz w:val="20"/>
        </w:rPr>
      </w:pPr>
    </w:p>
    <w:p w14:paraId="34BF5901" w14:textId="77777777" w:rsidR="00AE3E37" w:rsidRPr="007356FE" w:rsidRDefault="00A9710C">
      <w:pPr>
        <w:spacing w:before="39"/>
        <w:ind w:left="100"/>
        <w:rPr>
          <w:rFonts w:ascii="Minion Pro" w:hAnsi="Minion Pro"/>
          <w:b/>
          <w:sz w:val="20"/>
          <w:szCs w:val="20"/>
        </w:rPr>
      </w:pPr>
      <w:r w:rsidRPr="007356FE">
        <w:rPr>
          <w:rFonts w:ascii="Minion Pro" w:hAnsi="Minion Pro"/>
          <w:b/>
          <w:sz w:val="20"/>
        </w:rPr>
        <w:t>Notes/</w:t>
      </w:r>
      <w:r w:rsidRPr="007356FE">
        <w:rPr>
          <w:rFonts w:ascii="Minion Pro" w:hAnsi="Minion Pro"/>
          <w:b/>
          <w:sz w:val="20"/>
          <w:szCs w:val="20"/>
        </w:rPr>
        <w:t>Comments:</w:t>
      </w:r>
    </w:p>
    <w:p w14:paraId="2BC63BF4" w14:textId="77777777" w:rsidR="00AE3E37" w:rsidRPr="007356FE" w:rsidRDefault="00AE3E37">
      <w:pPr>
        <w:rPr>
          <w:rFonts w:ascii="Minion Pro" w:hAnsi="Minion Pro"/>
          <w:sz w:val="20"/>
          <w:szCs w:val="20"/>
        </w:rPr>
        <w:sectPr w:rsidR="00AE3E37" w:rsidRPr="007356F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EF6C925" w14:textId="77777777" w:rsidR="00AE3E37" w:rsidRPr="007356FE" w:rsidRDefault="00AE3E37">
      <w:pPr>
        <w:pStyle w:val="BodyText"/>
        <w:spacing w:before="3"/>
        <w:rPr>
          <w:rFonts w:ascii="Minion Pro" w:hAnsi="Minion Pro"/>
          <w:sz w:val="20"/>
          <w:szCs w:val="20"/>
        </w:rPr>
      </w:pPr>
    </w:p>
    <w:p w14:paraId="0C8F718D" w14:textId="77777777" w:rsidR="007356FE" w:rsidRPr="007356FE" w:rsidRDefault="007356FE">
      <w:pPr>
        <w:pStyle w:val="BodyText"/>
        <w:spacing w:before="3"/>
        <w:rPr>
          <w:rFonts w:ascii="Minion Pro" w:hAnsi="Minion Pro"/>
          <w:b/>
          <w:i/>
          <w:sz w:val="20"/>
          <w:szCs w:val="20"/>
          <w:u w:val="single"/>
        </w:rPr>
      </w:pPr>
      <w:r w:rsidRPr="007356FE">
        <w:rPr>
          <w:rFonts w:ascii="Minion Pro" w:hAnsi="Minion Pro"/>
          <w:b/>
          <w:i/>
          <w:sz w:val="20"/>
          <w:szCs w:val="20"/>
          <w:u w:val="single"/>
        </w:rPr>
        <w:t>For Oral or Poster Presentation</w:t>
      </w:r>
    </w:p>
    <w:sectPr w:rsidR="007356FE" w:rsidRPr="007356F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B0B42" w14:textId="77777777" w:rsidR="002640A7" w:rsidRDefault="002640A7">
      <w:r>
        <w:separator/>
      </w:r>
    </w:p>
  </w:endnote>
  <w:endnote w:type="continuationSeparator" w:id="0">
    <w:p w14:paraId="07AC1252" w14:textId="77777777" w:rsidR="002640A7" w:rsidRDefault="0026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1740E" w14:textId="77777777" w:rsidR="002640A7" w:rsidRDefault="002640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5284A8" wp14:editId="52B7EF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DAE1A4" w14:textId="77777777" w:rsidR="002640A7" w:rsidRPr="005B3A56" w:rsidRDefault="002640A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60F2A1F" w14:textId="77777777" w:rsidR="002640A7" w:rsidRPr="005B3A56" w:rsidRDefault="002640A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56DAE1A4" w14:textId="77777777" w:rsidR="002640A7" w:rsidRPr="005B3A56" w:rsidRDefault="002640A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60F2A1F" w14:textId="77777777" w:rsidR="002640A7" w:rsidRPr="005B3A56" w:rsidRDefault="002640A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57811C2" wp14:editId="1A4E262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93252" w14:textId="77777777" w:rsidR="002640A7" w:rsidRPr="005B3A56" w:rsidRDefault="002640A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A9C66E1" w14:textId="77777777" w:rsidR="002640A7" w:rsidRPr="005B3A56" w:rsidRDefault="002640A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DC93252" w14:textId="77777777" w:rsidR="002640A7" w:rsidRPr="005B3A56" w:rsidRDefault="002640A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A9C66E1" w14:textId="77777777" w:rsidR="002640A7" w:rsidRPr="005B3A56" w:rsidRDefault="002640A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3199422" wp14:editId="4754B58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DC271" w14:textId="77777777" w:rsidR="002640A7" w:rsidRPr="005B3A56" w:rsidRDefault="002640A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7091C14" w14:textId="77777777" w:rsidR="002640A7" w:rsidRPr="005B3A56" w:rsidRDefault="002640A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AADC271" w14:textId="77777777" w:rsidR="002640A7" w:rsidRPr="005B3A56" w:rsidRDefault="002640A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7091C14" w14:textId="77777777" w:rsidR="002640A7" w:rsidRPr="005B3A56" w:rsidRDefault="002640A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1E320" w14:textId="77777777" w:rsidR="002640A7" w:rsidRDefault="002640A7">
      <w:r>
        <w:separator/>
      </w:r>
    </w:p>
  </w:footnote>
  <w:footnote w:type="continuationSeparator" w:id="0">
    <w:p w14:paraId="48A1C6B1" w14:textId="77777777" w:rsidR="002640A7" w:rsidRDefault="002640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96AA9" w14:textId="77777777" w:rsidR="002640A7" w:rsidRDefault="002640A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D5F1880" wp14:editId="043BB44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468A4" w14:textId="77777777" w:rsidR="002640A7" w:rsidRPr="005B3A56" w:rsidRDefault="002640A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7C468A4" w14:textId="77777777" w:rsidR="002640A7" w:rsidRPr="005B3A56" w:rsidRDefault="002640A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7FD01A" wp14:editId="1F5F33C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F40BC" w14:textId="77777777" w:rsidR="002640A7" w:rsidRPr="005B3A56" w:rsidRDefault="002640A7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CC33162" w14:textId="77777777" w:rsidR="002640A7" w:rsidRPr="005B3A56" w:rsidRDefault="002640A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1DF40BC" w14:textId="77777777" w:rsidR="002640A7" w:rsidRPr="005B3A56" w:rsidRDefault="002640A7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CC33162" w14:textId="77777777" w:rsidR="002640A7" w:rsidRPr="005B3A56" w:rsidRDefault="002640A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5C1324F"/>
    <w:multiLevelType w:val="hybridMultilevel"/>
    <w:tmpl w:val="8C200D7C"/>
    <w:lvl w:ilvl="0" w:tplc="92205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A27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BA9C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5ABE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8B3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670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C82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7846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DA66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640A7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356FE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DD9D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ormal0">
    <w:name w:val="normal"/>
    <w:rsid w:val="002640A7"/>
    <w:pPr>
      <w:widowControl/>
    </w:pPr>
    <w:rPr>
      <w:rFonts w:ascii="Cambria" w:eastAsia="Cambria" w:hAnsi="Cambria" w:cs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ormal0">
    <w:name w:val="normal"/>
    <w:rsid w:val="002640A7"/>
    <w:pPr>
      <w:widowControl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88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02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7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2158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Kaye Quetulio</cp:lastModifiedBy>
  <cp:revision>3</cp:revision>
  <cp:lastPrinted>2019-10-15T11:50:00Z</cp:lastPrinted>
  <dcterms:created xsi:type="dcterms:W3CDTF">2019-10-15T11:50:00Z</dcterms:created>
  <dcterms:modified xsi:type="dcterms:W3CDTF">2019-10-15T11:51:00Z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