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500602" w14:textId="77777777" w:rsidR="00AE3E37" w:rsidRPr="00951F3F" w:rsidRDefault="00C36C1C" w:rsidP="00C36C1C">
      <w:pPr>
        <w:pStyle w:val="Heading1"/>
        <w:rPr>
          <w:color w:val="FF0000"/>
        </w:rPr>
      </w:pPr>
      <w:r w:rsidRPr="00951F3F">
        <w:rPr>
          <w:color w:val="E36C0A" w:themeColor="accent6" w:themeShade="BF"/>
        </w:rPr>
        <w:t xml:space="preserve">Polycystic Ovary syndrome (PCOS) and Genetic Predisposition </w:t>
      </w:r>
    </w:p>
    <w:p w14:paraId="27037769" w14:textId="77777777" w:rsidR="00AE3E37" w:rsidRPr="009C2C6D" w:rsidRDefault="00C36C1C" w:rsidP="009C2C6D">
      <w:r>
        <w:t xml:space="preserve">Nida Ajmal, Young researcher, BUITEMS, Pakistan </w:t>
      </w:r>
    </w:p>
    <w:p w14:paraId="4B08B436" w14:textId="77777777" w:rsidR="00AE3E37" w:rsidRDefault="00AE3E37">
      <w:pPr>
        <w:pStyle w:val="BodyText"/>
        <w:spacing w:before="3"/>
        <w:rPr>
          <w:rFonts w:ascii="Arial"/>
          <w:sz w:val="21"/>
        </w:rPr>
      </w:pPr>
    </w:p>
    <w:p w14:paraId="27F656E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06FD8B8" w14:textId="77777777" w:rsidR="00AE3E37" w:rsidRDefault="00A9710C">
      <w:pPr>
        <w:pStyle w:val="Heading3"/>
        <w:spacing w:before="147"/>
        <w:jc w:val="both"/>
        <w:rPr>
          <w:color w:val="BF5A14"/>
        </w:rPr>
      </w:pPr>
      <w:r>
        <w:rPr>
          <w:color w:val="BF5A14"/>
        </w:rPr>
        <w:t>Abstract</w:t>
      </w:r>
      <w:r w:rsidR="00404E5B">
        <w:rPr>
          <w:color w:val="BF5A14"/>
        </w:rPr>
        <w:t xml:space="preserve"> </w:t>
      </w:r>
    </w:p>
    <w:p w14:paraId="4DD9E2A9" w14:textId="77777777" w:rsidR="00C36C1C" w:rsidRPr="00C36C1C" w:rsidRDefault="00C36C1C" w:rsidP="009C2C6D">
      <w:pPr>
        <w:jc w:val="both"/>
        <w:rPr>
          <w:color w:val="2E2E2E"/>
          <w:sz w:val="18"/>
          <w:szCs w:val="18"/>
        </w:rPr>
      </w:pPr>
      <w:r w:rsidRPr="00C36C1C">
        <w:rPr>
          <w:color w:val="2E2E2E"/>
          <w:sz w:val="18"/>
          <w:szCs w:val="18"/>
        </w:rPr>
        <w:t>Polycystic ovary syndrome (PCOS) is a heterogeneous condition which is related to an endocrine reproductive disorder of females. It affects females of 18–44 age. The persistent hormonal disbalance leads to the complexities such as numerous cysts, an irregular menstrual cycle that ultimately leads to infertility among females. Many candidate genes have been identified to be one of the causes of PCOS. Different studies have been carried out to find the genetic correlation of PCOS. It is</w:t>
      </w:r>
      <w:bookmarkStart w:id="0" w:name="_GoBack"/>
      <w:bookmarkEnd w:id="0"/>
      <w:r w:rsidRPr="00C36C1C">
        <w:rPr>
          <w:color w:val="2E2E2E"/>
          <w:sz w:val="18"/>
          <w:szCs w:val="18"/>
        </w:rPr>
        <w:t xml:space="preserve"> essential to carry out such studies that identify the clear cause of PCOS and its genetic association and hormonal disbalance. This review has highlighted different genes and their correlation with PCOS that leads to hormonal disbalance. Yet not in-depth but an attempt to study the genetic predisposition of PCOS.</w:t>
      </w:r>
    </w:p>
    <w:p w14:paraId="3AD942BD" w14:textId="77777777" w:rsidR="00C36C1C" w:rsidRDefault="00C36C1C">
      <w:pPr>
        <w:pStyle w:val="Heading3"/>
        <w:spacing w:before="147"/>
        <w:jc w:val="both"/>
      </w:pPr>
    </w:p>
    <w:p w14:paraId="3BE2223B" w14:textId="77777777" w:rsidR="00AE3E37" w:rsidRDefault="00A9710C">
      <w:pPr>
        <w:pStyle w:val="Heading3"/>
        <w:spacing w:before="74"/>
        <w:rPr>
          <w:color w:val="BF5A14"/>
        </w:rPr>
      </w:pPr>
      <w:r>
        <w:rPr>
          <w:b w:val="0"/>
        </w:rPr>
        <w:br w:type="column"/>
      </w:r>
      <w:r>
        <w:rPr>
          <w:color w:val="BF5A14"/>
        </w:rPr>
        <w:t>Image</w:t>
      </w:r>
    </w:p>
    <w:p w14:paraId="6D47F58A" w14:textId="77777777" w:rsidR="00C36C1C" w:rsidRPr="009C2C6D" w:rsidRDefault="009C2C6D" w:rsidP="009C2C6D">
      <w:pPr>
        <w:pStyle w:val="Heading3"/>
        <w:spacing w:before="74"/>
        <w:rPr>
          <w:color w:val="BF5A14"/>
        </w:rPr>
      </w:pPr>
      <w:r>
        <w:rPr>
          <w:noProof/>
        </w:rPr>
        <w:drawing>
          <wp:inline distT="0" distB="0" distL="0" distR="0" wp14:anchorId="59C5F0FF" wp14:editId="19BB39E2">
            <wp:extent cx="3333750" cy="1676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3672" t="24260" r="21363" b="10097"/>
                    <a:stretch/>
                  </pic:blipFill>
                  <pic:spPr bwMode="auto">
                    <a:xfrm>
                      <a:off x="0" y="0"/>
                      <a:ext cx="3333750" cy="1676400"/>
                    </a:xfrm>
                    <a:prstGeom prst="rect">
                      <a:avLst/>
                    </a:prstGeom>
                    <a:ln>
                      <a:noFill/>
                    </a:ln>
                    <a:extLst>
                      <a:ext uri="{53640926-AAD7-44D8-BBD7-CCE9431645EC}">
                        <a14:shadowObscured xmlns:a14="http://schemas.microsoft.com/office/drawing/2010/main"/>
                      </a:ext>
                    </a:extLst>
                  </pic:spPr>
                </pic:pic>
              </a:graphicData>
            </a:graphic>
          </wp:inline>
        </w:drawing>
      </w:r>
    </w:p>
    <w:p w14:paraId="7CA3B39A" w14:textId="77777777" w:rsidR="00AE3E37" w:rsidRDefault="00AE3E37">
      <w:pPr>
        <w:pStyle w:val="BodyText"/>
        <w:spacing w:before="2"/>
        <w:rPr>
          <w:rFonts w:ascii="Arial"/>
          <w:b/>
          <w:sz w:val="16"/>
        </w:rPr>
      </w:pPr>
    </w:p>
    <w:p w14:paraId="2F2E208B" w14:textId="77777777" w:rsidR="005973B9" w:rsidRDefault="005973B9" w:rsidP="005973B9">
      <w:pPr>
        <w:spacing w:line="204" w:lineRule="exact"/>
        <w:rPr>
          <w:rFonts w:ascii="Arial"/>
          <w:b/>
          <w:color w:val="BF5A14"/>
          <w:sz w:val="20"/>
        </w:rPr>
      </w:pPr>
      <w:r>
        <w:rPr>
          <w:rFonts w:ascii="Arial"/>
          <w:b/>
          <w:color w:val="BF5A14"/>
          <w:sz w:val="20"/>
        </w:rPr>
        <w:br/>
        <w:t>Recent Publications (minimum 5)</w:t>
      </w:r>
    </w:p>
    <w:p w14:paraId="17A3493E" w14:textId="77777777" w:rsidR="00C36C1C" w:rsidRPr="007A2575" w:rsidRDefault="00C36C1C" w:rsidP="007A2575">
      <w:pPr>
        <w:pStyle w:val="ListParagraph"/>
        <w:numPr>
          <w:ilvl w:val="0"/>
          <w:numId w:val="4"/>
        </w:numPr>
        <w:spacing w:line="204" w:lineRule="exact"/>
        <w:rPr>
          <w:rFonts w:asciiTheme="minorHAnsi" w:hAnsiTheme="minorHAnsi"/>
          <w:sz w:val="18"/>
          <w:szCs w:val="18"/>
        </w:rPr>
      </w:pPr>
      <w:r w:rsidRPr="007A2575">
        <w:rPr>
          <w:rFonts w:asciiTheme="minorHAnsi" w:hAnsiTheme="minorHAnsi"/>
          <w:sz w:val="18"/>
          <w:szCs w:val="18"/>
        </w:rPr>
        <w:t xml:space="preserve">Reddy R, Deepika M.L.N, </w:t>
      </w:r>
      <w:r w:rsidR="007A2575" w:rsidRPr="007A2575">
        <w:rPr>
          <w:rFonts w:asciiTheme="minorHAnsi" w:hAnsiTheme="minorHAnsi"/>
          <w:sz w:val="18"/>
          <w:szCs w:val="18"/>
        </w:rPr>
        <w:t>Prasanna K.L</w:t>
      </w:r>
      <w:r w:rsidRPr="007A2575">
        <w:rPr>
          <w:rFonts w:asciiTheme="minorHAnsi" w:hAnsiTheme="minorHAnsi"/>
          <w:sz w:val="18"/>
          <w:szCs w:val="18"/>
        </w:rPr>
        <w:t xml:space="preserve">, </w:t>
      </w:r>
      <w:proofErr w:type="spellStart"/>
      <w:r w:rsidRPr="007A2575">
        <w:rPr>
          <w:rFonts w:asciiTheme="minorHAnsi" w:hAnsiTheme="minorHAnsi"/>
          <w:sz w:val="18"/>
          <w:szCs w:val="18"/>
        </w:rPr>
        <w:t>Someswar</w:t>
      </w:r>
      <w:proofErr w:type="spellEnd"/>
      <w:r w:rsidRPr="007A2575">
        <w:rPr>
          <w:rFonts w:asciiTheme="minorHAnsi" w:hAnsiTheme="minorHAnsi"/>
          <w:sz w:val="18"/>
          <w:szCs w:val="18"/>
        </w:rPr>
        <w:t xml:space="preserve"> R.S (2015). Polycystic ovary syndrome: role of </w:t>
      </w:r>
      <w:proofErr w:type="spellStart"/>
      <w:r w:rsidRPr="007A2575">
        <w:rPr>
          <w:rFonts w:asciiTheme="minorHAnsi" w:hAnsiTheme="minorHAnsi"/>
          <w:sz w:val="18"/>
          <w:szCs w:val="18"/>
        </w:rPr>
        <w:t>aromatose</w:t>
      </w:r>
      <w:proofErr w:type="spellEnd"/>
      <w:r w:rsidRPr="007A2575">
        <w:rPr>
          <w:rFonts w:asciiTheme="minorHAnsi" w:hAnsiTheme="minorHAnsi"/>
          <w:sz w:val="18"/>
          <w:szCs w:val="18"/>
        </w:rPr>
        <w:t xml:space="preserve"> gene variants in South Indian women International Journal of Pharma and Bio Sciences 6(2): 1283-1296</w:t>
      </w:r>
    </w:p>
    <w:p w14:paraId="6E3D93B5" w14:textId="77777777" w:rsidR="00C36C1C" w:rsidRPr="007A2575" w:rsidRDefault="00C36C1C" w:rsidP="007A2575">
      <w:pPr>
        <w:pStyle w:val="ListParagraph"/>
        <w:numPr>
          <w:ilvl w:val="0"/>
          <w:numId w:val="4"/>
        </w:numPr>
        <w:spacing w:line="204" w:lineRule="exact"/>
        <w:rPr>
          <w:rFonts w:asciiTheme="minorHAnsi" w:hAnsiTheme="minorHAnsi"/>
          <w:sz w:val="18"/>
          <w:szCs w:val="18"/>
        </w:rPr>
      </w:pPr>
      <w:proofErr w:type="spellStart"/>
      <w:r w:rsidRPr="007A2575">
        <w:rPr>
          <w:rFonts w:asciiTheme="minorHAnsi" w:hAnsiTheme="minorHAnsi"/>
          <w:sz w:val="18"/>
          <w:szCs w:val="18"/>
        </w:rPr>
        <w:t>Helvaci</w:t>
      </w:r>
      <w:proofErr w:type="spellEnd"/>
      <w:r w:rsidRPr="007A2575">
        <w:rPr>
          <w:rFonts w:asciiTheme="minorHAnsi" w:hAnsiTheme="minorHAnsi"/>
          <w:sz w:val="18"/>
          <w:szCs w:val="18"/>
        </w:rPr>
        <w:t xml:space="preserve"> N, </w:t>
      </w:r>
      <w:proofErr w:type="spellStart"/>
      <w:r w:rsidRPr="007A2575">
        <w:rPr>
          <w:rFonts w:asciiTheme="minorHAnsi" w:hAnsiTheme="minorHAnsi"/>
          <w:sz w:val="18"/>
          <w:szCs w:val="18"/>
        </w:rPr>
        <w:t>Karabulut</w:t>
      </w:r>
      <w:proofErr w:type="spellEnd"/>
      <w:r w:rsidRPr="007A2575">
        <w:rPr>
          <w:rFonts w:asciiTheme="minorHAnsi" w:hAnsiTheme="minorHAnsi"/>
          <w:sz w:val="18"/>
          <w:szCs w:val="18"/>
        </w:rPr>
        <w:t xml:space="preserve"> E, Demir AU, </w:t>
      </w:r>
      <w:proofErr w:type="spellStart"/>
      <w:r w:rsidRPr="007A2575">
        <w:rPr>
          <w:rFonts w:asciiTheme="minorHAnsi" w:hAnsiTheme="minorHAnsi"/>
          <w:sz w:val="18"/>
          <w:szCs w:val="18"/>
        </w:rPr>
        <w:t>Yildiz</w:t>
      </w:r>
      <w:proofErr w:type="spellEnd"/>
      <w:r w:rsidRPr="007A2575">
        <w:rPr>
          <w:rFonts w:asciiTheme="minorHAnsi" w:hAnsiTheme="minorHAnsi"/>
          <w:sz w:val="18"/>
          <w:szCs w:val="18"/>
        </w:rPr>
        <w:t xml:space="preserve"> BO (2017). Polycystic ovary syndrome and the risk of obstructive sleep apnea: a meta-analysis and review of the literature. Endocrine Connections, 6(437): 437–445</w:t>
      </w:r>
    </w:p>
    <w:p w14:paraId="4B586BD5" w14:textId="77777777" w:rsidR="00C36C1C" w:rsidRPr="007A2575" w:rsidRDefault="00C36C1C" w:rsidP="007A2575">
      <w:pPr>
        <w:pStyle w:val="ListParagraph"/>
        <w:numPr>
          <w:ilvl w:val="0"/>
          <w:numId w:val="4"/>
        </w:numPr>
        <w:spacing w:line="204" w:lineRule="exact"/>
        <w:rPr>
          <w:rFonts w:asciiTheme="minorHAnsi" w:hAnsiTheme="minorHAnsi"/>
          <w:sz w:val="18"/>
          <w:szCs w:val="18"/>
        </w:rPr>
      </w:pPr>
      <w:r w:rsidRPr="007A2575">
        <w:rPr>
          <w:rFonts w:asciiTheme="minorHAnsi" w:hAnsiTheme="minorHAnsi"/>
          <w:sz w:val="18"/>
          <w:szCs w:val="18"/>
        </w:rPr>
        <w:t>Chen Y, Fang S.Y (2018). Potential genetic polymorphisms predicting polycystic ovary syndrome. Endocrine Connections 7: 187-195</w:t>
      </w:r>
    </w:p>
    <w:p w14:paraId="1A2DA592" w14:textId="77777777" w:rsidR="00C36C1C" w:rsidRPr="007A2575" w:rsidRDefault="00C36C1C" w:rsidP="007A2575">
      <w:pPr>
        <w:pStyle w:val="ListParagraph"/>
        <w:numPr>
          <w:ilvl w:val="0"/>
          <w:numId w:val="4"/>
        </w:numPr>
        <w:spacing w:line="204" w:lineRule="exact"/>
        <w:rPr>
          <w:rFonts w:asciiTheme="minorHAnsi" w:hAnsiTheme="minorHAnsi"/>
          <w:sz w:val="18"/>
          <w:szCs w:val="18"/>
        </w:rPr>
      </w:pPr>
      <w:r w:rsidRPr="007A2575">
        <w:rPr>
          <w:rFonts w:asciiTheme="minorHAnsi" w:hAnsiTheme="minorHAnsi"/>
          <w:sz w:val="18"/>
          <w:szCs w:val="18"/>
        </w:rPr>
        <w:t xml:space="preserve">Rizwan S, </w:t>
      </w:r>
      <w:proofErr w:type="spellStart"/>
      <w:r w:rsidRPr="007A2575">
        <w:rPr>
          <w:rFonts w:asciiTheme="minorHAnsi" w:hAnsiTheme="minorHAnsi"/>
          <w:sz w:val="18"/>
          <w:szCs w:val="18"/>
        </w:rPr>
        <w:t>Ghazanvi</w:t>
      </w:r>
      <w:proofErr w:type="spellEnd"/>
      <w:r w:rsidRPr="007A2575">
        <w:rPr>
          <w:rFonts w:asciiTheme="minorHAnsi" w:hAnsiTheme="minorHAnsi"/>
          <w:sz w:val="18"/>
          <w:szCs w:val="18"/>
        </w:rPr>
        <w:t xml:space="preserve"> S, Rasheed N and Ullah MI. (2018). Association of FTO Common RS9939609 Polymorphism with Obesity and Polycystic Ovarian Syndrome in Pakistani Women J Med Res Biol Stud 1(101): 1-5</w:t>
      </w:r>
    </w:p>
    <w:p w14:paraId="643587B0" w14:textId="77777777" w:rsidR="007A2575" w:rsidRDefault="007A2575" w:rsidP="007A2575">
      <w:pPr>
        <w:pStyle w:val="ListParagraph"/>
        <w:numPr>
          <w:ilvl w:val="0"/>
          <w:numId w:val="4"/>
        </w:numPr>
        <w:spacing w:line="204" w:lineRule="exact"/>
        <w:rPr>
          <w:rFonts w:asciiTheme="minorHAnsi" w:hAnsiTheme="minorHAnsi"/>
          <w:sz w:val="18"/>
          <w:szCs w:val="18"/>
        </w:rPr>
      </w:pPr>
      <w:proofErr w:type="spellStart"/>
      <w:r w:rsidRPr="007A2575">
        <w:rPr>
          <w:rFonts w:asciiTheme="minorHAnsi" w:hAnsiTheme="minorHAnsi"/>
          <w:sz w:val="18"/>
          <w:szCs w:val="18"/>
        </w:rPr>
        <w:t>Aesha</w:t>
      </w:r>
      <w:proofErr w:type="spellEnd"/>
      <w:r w:rsidRPr="007A2575">
        <w:rPr>
          <w:rFonts w:asciiTheme="minorHAnsi" w:hAnsiTheme="minorHAnsi"/>
          <w:sz w:val="18"/>
          <w:szCs w:val="18"/>
        </w:rPr>
        <w:t xml:space="preserve"> </w:t>
      </w:r>
      <w:proofErr w:type="spellStart"/>
      <w:proofErr w:type="gramStart"/>
      <w:r w:rsidRPr="007A2575">
        <w:rPr>
          <w:rFonts w:asciiTheme="minorHAnsi" w:hAnsiTheme="minorHAnsi"/>
          <w:sz w:val="18"/>
          <w:szCs w:val="18"/>
        </w:rPr>
        <w:t>Sh.B</w:t>
      </w:r>
      <w:proofErr w:type="spellEnd"/>
      <w:proofErr w:type="gramEnd"/>
      <w:r w:rsidRPr="007A2575">
        <w:rPr>
          <w:rFonts w:asciiTheme="minorHAnsi" w:hAnsiTheme="minorHAnsi"/>
          <w:sz w:val="18"/>
          <w:szCs w:val="18"/>
        </w:rPr>
        <w:t>, Sabah H.K, Anas A.H (2017). The FSHR Polymorphisms Association with Polycystic Ovary Syndrome in Women of Erbil, Kurdistan in North of Iraq Ibn Al-Haitham Journal for Pure and Applied science</w:t>
      </w:r>
    </w:p>
    <w:p w14:paraId="74A346DF" w14:textId="77777777" w:rsidR="00AE3E37" w:rsidRPr="007A2575" w:rsidRDefault="008756E6" w:rsidP="007A2575">
      <w:pPr>
        <w:pStyle w:val="ListParagraph"/>
        <w:spacing w:line="204" w:lineRule="exact"/>
        <w:ind w:left="720" w:firstLine="0"/>
        <w:rPr>
          <w:rFonts w:asciiTheme="minorHAnsi" w:hAnsiTheme="minorHAnsi"/>
          <w:sz w:val="18"/>
          <w:szCs w:val="18"/>
        </w:rPr>
        <w:sectPr w:rsidR="00AE3E37" w:rsidRPr="007A2575">
          <w:type w:val="continuous"/>
          <w:pgSz w:w="11910" w:h="16840"/>
          <w:pgMar w:top="1740" w:right="600" w:bottom="840" w:left="620" w:header="720" w:footer="720" w:gutter="0"/>
          <w:cols w:num="2" w:space="720" w:equalWidth="0">
            <w:col w:w="5214" w:space="138"/>
            <w:col w:w="5338"/>
          </w:cols>
        </w:sectPr>
      </w:pPr>
      <w:r w:rsidRPr="007A2575">
        <w:t xml:space="preserve">   </w:t>
      </w:r>
    </w:p>
    <w:p w14:paraId="36E2D458"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6F90D3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EA86560" wp14:editId="5D45D84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BF997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B7C90E9" w14:textId="77777777" w:rsidR="00AE3E37" w:rsidRDefault="008756E6" w:rsidP="00404E5B">
      <w:pPr>
        <w:spacing w:before="92"/>
        <w:ind w:right="4234"/>
        <w:rPr>
          <w:rFonts w:ascii="Arial"/>
        </w:rPr>
      </w:pPr>
      <w:r>
        <w:rPr>
          <w:noProof/>
        </w:rPr>
        <w:t xml:space="preserve">              </w:t>
      </w:r>
      <w:r w:rsidR="007A2575">
        <w:rPr>
          <w:rFonts w:ascii="Arial"/>
          <w:noProof/>
          <w:color w:val="BF5A14"/>
        </w:rPr>
        <w:drawing>
          <wp:inline distT="0" distB="0" distL="0" distR="0" wp14:anchorId="5B873C23" wp14:editId="6E1AFFD3">
            <wp:extent cx="428625" cy="504825"/>
            <wp:effectExtent l="0" t="0" r="9525" b="9525"/>
            <wp:docPr id="4" name="Picture 4" descr="A close 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4400-6238478-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0062" cy="506517"/>
                    </a:xfrm>
                    <a:prstGeom prst="rect">
                      <a:avLst/>
                    </a:prstGeom>
                  </pic:spPr>
                </pic:pic>
              </a:graphicData>
            </a:graphic>
          </wp:inline>
        </w:drawing>
      </w:r>
      <w:r w:rsidR="00A9710C">
        <w:rPr>
          <w:rFonts w:ascii="Arial"/>
          <w:color w:val="BF5A14"/>
        </w:rPr>
        <w:t>Biography</w:t>
      </w:r>
      <w:r w:rsidR="00404E5B">
        <w:rPr>
          <w:rFonts w:ascii="Arial"/>
          <w:color w:val="BF5A14"/>
        </w:rPr>
        <w:t xml:space="preserve"> (</w:t>
      </w:r>
      <w:r w:rsidR="007A2575">
        <w:rPr>
          <w:rFonts w:ascii="Arial"/>
          <w:color w:val="BF5A14"/>
        </w:rPr>
        <w:t>150-word</w:t>
      </w:r>
      <w:r w:rsidR="00404E5B">
        <w:rPr>
          <w:rFonts w:ascii="Arial"/>
          <w:color w:val="BF5A14"/>
        </w:rPr>
        <w:t xml:space="preserve"> limit)</w:t>
      </w:r>
    </w:p>
    <w:p w14:paraId="44CFE847" w14:textId="77777777" w:rsidR="00AE3E37" w:rsidRDefault="007A2575" w:rsidP="007A2575">
      <w:pPr>
        <w:spacing w:before="41" w:line="154" w:lineRule="exact"/>
        <w:ind w:right="231"/>
        <w:jc w:val="both"/>
        <w:rPr>
          <w:rFonts w:ascii="Arial"/>
          <w:sz w:val="14"/>
        </w:rPr>
      </w:pPr>
      <w:r>
        <w:rPr>
          <w:rFonts w:ascii="Arial"/>
          <w:sz w:val="14"/>
        </w:rPr>
        <w:t>Nida</w:t>
      </w:r>
      <w:r w:rsidR="0078738A">
        <w:rPr>
          <w:rFonts w:ascii="Arial"/>
          <w:sz w:val="14"/>
        </w:rPr>
        <w:t xml:space="preserve"> </w:t>
      </w:r>
      <w:r w:rsidR="00A9710C">
        <w:rPr>
          <w:rFonts w:ascii="Arial"/>
          <w:sz w:val="14"/>
        </w:rPr>
        <w:t>has her expertise in</w:t>
      </w:r>
      <w:r>
        <w:rPr>
          <w:rFonts w:ascii="Arial"/>
          <w:sz w:val="14"/>
        </w:rPr>
        <w:t xml:space="preserve"> the field of human molecular genetics.</w:t>
      </w:r>
      <w:r w:rsidR="00A9710C">
        <w:rPr>
          <w:rFonts w:ascii="Arial"/>
          <w:sz w:val="14"/>
        </w:rPr>
        <w:t xml:space="preserve"> </w:t>
      </w:r>
      <w:r>
        <w:rPr>
          <w:rFonts w:ascii="Arial"/>
          <w:sz w:val="14"/>
        </w:rPr>
        <w:t xml:space="preserve">She has worked on the phylogenetic </w:t>
      </w:r>
      <w:r w:rsidR="009C2C6D">
        <w:rPr>
          <w:rFonts w:ascii="Arial"/>
          <w:sz w:val="14"/>
        </w:rPr>
        <w:t>analysis</w:t>
      </w:r>
      <w:r>
        <w:rPr>
          <w:rFonts w:ascii="Arial"/>
          <w:sz w:val="14"/>
        </w:rPr>
        <w:t xml:space="preserve"> and SNP</w:t>
      </w:r>
      <w:r>
        <w:rPr>
          <w:rFonts w:ascii="Arial"/>
          <w:sz w:val="14"/>
        </w:rPr>
        <w:t>’</w:t>
      </w:r>
      <w:r>
        <w:rPr>
          <w:rFonts w:ascii="Arial"/>
          <w:sz w:val="14"/>
        </w:rPr>
        <w:t>s identification</w:t>
      </w:r>
      <w:r w:rsidR="00A9710C">
        <w:rPr>
          <w:rFonts w:ascii="Arial"/>
          <w:sz w:val="14"/>
        </w:rPr>
        <w:t>.</w:t>
      </w:r>
      <w:r w:rsidR="000E2911">
        <w:rPr>
          <w:rFonts w:ascii="Arial"/>
          <w:sz w:val="14"/>
        </w:rPr>
        <w:t xml:space="preserve"> </w:t>
      </w:r>
      <w:r>
        <w:rPr>
          <w:rFonts w:ascii="Arial"/>
          <w:sz w:val="14"/>
        </w:rPr>
        <w:t xml:space="preserve">She has expertise in the teaching, research </w:t>
      </w:r>
      <w:r w:rsidR="009C2C6D">
        <w:rPr>
          <w:rFonts w:ascii="Arial"/>
          <w:sz w:val="14"/>
        </w:rPr>
        <w:t xml:space="preserve">activities </w:t>
      </w:r>
      <w:r>
        <w:rPr>
          <w:rFonts w:ascii="Arial"/>
          <w:sz w:val="14"/>
        </w:rPr>
        <w:t xml:space="preserve">and in bringing out </w:t>
      </w:r>
      <w:r w:rsidR="009C2C6D">
        <w:rPr>
          <w:rFonts w:ascii="Arial"/>
          <w:sz w:val="14"/>
        </w:rPr>
        <w:t>innovative</w:t>
      </w:r>
      <w:r>
        <w:rPr>
          <w:rFonts w:ascii="Arial"/>
          <w:sz w:val="14"/>
        </w:rPr>
        <w:t xml:space="preserve"> research ideas. She belongs to one of the </w:t>
      </w:r>
      <w:r w:rsidR="009C2C6D">
        <w:rPr>
          <w:rFonts w:ascii="Arial"/>
          <w:sz w:val="14"/>
        </w:rPr>
        <w:t>renowned</w:t>
      </w:r>
      <w:r>
        <w:rPr>
          <w:rFonts w:ascii="Arial"/>
          <w:sz w:val="14"/>
        </w:rPr>
        <w:t xml:space="preserve"> universities </w:t>
      </w:r>
      <w:r w:rsidR="009C2C6D">
        <w:rPr>
          <w:rFonts w:ascii="Arial"/>
          <w:sz w:val="14"/>
        </w:rPr>
        <w:t xml:space="preserve">BUITEMS, </w:t>
      </w:r>
      <w:r>
        <w:rPr>
          <w:rFonts w:ascii="Arial"/>
          <w:sz w:val="14"/>
        </w:rPr>
        <w:t>Quetta, Balochistan, Pakistan that provides</w:t>
      </w:r>
      <w:r w:rsidR="009C2C6D">
        <w:rPr>
          <w:rFonts w:ascii="Arial"/>
          <w:sz w:val="14"/>
        </w:rPr>
        <w:t xml:space="preserve"> an</w:t>
      </w:r>
      <w:r>
        <w:rPr>
          <w:rFonts w:ascii="Arial"/>
          <w:sz w:val="14"/>
        </w:rPr>
        <w:t xml:space="preserve"> </w:t>
      </w:r>
      <w:r w:rsidR="009C2C6D">
        <w:rPr>
          <w:rFonts w:ascii="Arial"/>
          <w:sz w:val="14"/>
        </w:rPr>
        <w:t>excellent</w:t>
      </w:r>
      <w:r>
        <w:rPr>
          <w:rFonts w:ascii="Arial"/>
          <w:sz w:val="14"/>
        </w:rPr>
        <w:t xml:space="preserve"> platform for learning </w:t>
      </w:r>
      <w:r w:rsidR="009C2C6D">
        <w:rPr>
          <w:rFonts w:ascii="Arial"/>
          <w:sz w:val="14"/>
        </w:rPr>
        <w:t>opportunities</w:t>
      </w:r>
      <w:r>
        <w:rPr>
          <w:rFonts w:ascii="Arial"/>
          <w:sz w:val="14"/>
        </w:rPr>
        <w:t xml:space="preserve">. </w:t>
      </w:r>
      <w:r w:rsidR="009C2C6D">
        <w:rPr>
          <w:rFonts w:ascii="Arial"/>
          <w:sz w:val="14"/>
        </w:rPr>
        <w:t xml:space="preserve">A growing young researcher with full of enthusiasm and </w:t>
      </w:r>
      <w:r w:rsidR="009C2C6D" w:rsidRPr="009C2C6D">
        <w:rPr>
          <w:rFonts w:ascii="Arial"/>
          <w:sz w:val="14"/>
        </w:rPr>
        <w:t>A purposeful individual with a strong will to achieve results</w:t>
      </w:r>
      <w:r w:rsidR="009C2C6D">
        <w:rPr>
          <w:rFonts w:ascii="Arial"/>
          <w:sz w:val="14"/>
        </w:rPr>
        <w:t>.</w:t>
      </w:r>
    </w:p>
    <w:p w14:paraId="770EB705" w14:textId="77777777" w:rsidR="007A2575" w:rsidRDefault="00A9710C" w:rsidP="007A2575">
      <w:pPr>
        <w:spacing w:before="62"/>
        <w:ind w:left="4217" w:right="4235"/>
        <w:jc w:val="center"/>
        <w:rPr>
          <w:rFonts w:ascii="Arial"/>
          <w:sz w:val="14"/>
        </w:rPr>
      </w:pPr>
      <w:r>
        <w:rPr>
          <w:rFonts w:ascii="Arial"/>
          <w:sz w:val="14"/>
        </w:rPr>
        <w:t>Emai</w:t>
      </w:r>
      <w:r w:rsidR="007A2575">
        <w:rPr>
          <w:rFonts w:ascii="Arial"/>
          <w:sz w:val="14"/>
        </w:rPr>
        <w:t xml:space="preserve">l: </w:t>
      </w:r>
      <w:hyperlink r:id="rId11" w:history="1">
        <w:r w:rsidR="007A2575" w:rsidRPr="002801F5">
          <w:rPr>
            <w:rStyle w:val="Hyperlink"/>
            <w:rFonts w:ascii="Arial"/>
            <w:sz w:val="14"/>
          </w:rPr>
          <w:t>nidaajmal99@gmail.com</w:t>
        </w:r>
      </w:hyperlink>
    </w:p>
    <w:p w14:paraId="0A9022BF" w14:textId="77777777" w:rsidR="007A2575" w:rsidRDefault="007A2575" w:rsidP="007A2575">
      <w:pPr>
        <w:spacing w:before="62"/>
        <w:ind w:left="4217" w:right="4235"/>
        <w:jc w:val="center"/>
        <w:rPr>
          <w:rFonts w:ascii="Arial"/>
          <w:sz w:val="14"/>
        </w:rPr>
      </w:pPr>
    </w:p>
    <w:p w14:paraId="5691AA77"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CD53E30" wp14:editId="3BBF66B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3C14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D457019" w14:textId="77777777" w:rsidR="00AE3E37" w:rsidRDefault="00AE3E37">
      <w:pPr>
        <w:pStyle w:val="BodyText"/>
        <w:rPr>
          <w:rFonts w:ascii="Arial"/>
          <w:sz w:val="20"/>
        </w:rPr>
      </w:pPr>
    </w:p>
    <w:p w14:paraId="5BEA32E4" w14:textId="77777777" w:rsidR="00AE3E37" w:rsidRDefault="00AE3E37">
      <w:pPr>
        <w:pStyle w:val="BodyText"/>
        <w:rPr>
          <w:rFonts w:ascii="Arial"/>
          <w:sz w:val="20"/>
        </w:rPr>
      </w:pPr>
    </w:p>
    <w:p w14:paraId="42AF3D6E" w14:textId="77777777" w:rsidR="00AE3E37" w:rsidRDefault="00AE3E37">
      <w:pPr>
        <w:pStyle w:val="BodyText"/>
        <w:spacing w:before="7"/>
        <w:rPr>
          <w:rFonts w:ascii="Arial"/>
          <w:sz w:val="29"/>
        </w:rPr>
      </w:pPr>
    </w:p>
    <w:p w14:paraId="57D46E51" w14:textId="77777777" w:rsidR="00AE3E37" w:rsidRPr="00B21A57" w:rsidRDefault="00A9710C">
      <w:pPr>
        <w:spacing w:before="39"/>
        <w:ind w:left="100"/>
        <w:rPr>
          <w:rFonts w:ascii="Minion Pro"/>
          <w:b/>
          <w:sz w:val="20"/>
        </w:rPr>
      </w:pPr>
      <w:r w:rsidRPr="00B21A57">
        <w:rPr>
          <w:rFonts w:ascii="Minion Pro"/>
          <w:b/>
          <w:sz w:val="20"/>
        </w:rPr>
        <w:t>Notes/Comments:</w:t>
      </w:r>
    </w:p>
    <w:p w14:paraId="0B98EC9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4B974E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45331" w14:textId="77777777" w:rsidR="002C06F2" w:rsidRDefault="002C06F2">
      <w:r>
        <w:separator/>
      </w:r>
    </w:p>
  </w:endnote>
  <w:endnote w:type="continuationSeparator" w:id="0">
    <w:p w14:paraId="1BDDE42F" w14:textId="77777777" w:rsidR="002C06F2" w:rsidRDefault="002C0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9CAC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7718102" wp14:editId="486EF30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74E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3203D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1810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B674E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3203D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6D5FED" wp14:editId="7605FCE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04E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2672B7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D5FE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0204E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2672B7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EC3589F" wp14:editId="072BA29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E1E6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D21E6C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3589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F3E1E6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D21E6C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E1F492" w14:textId="77777777" w:rsidR="002C06F2" w:rsidRDefault="002C06F2">
      <w:r>
        <w:separator/>
      </w:r>
    </w:p>
  </w:footnote>
  <w:footnote w:type="continuationSeparator" w:id="0">
    <w:p w14:paraId="6ED2DF00" w14:textId="77777777" w:rsidR="002C06F2" w:rsidRDefault="002C0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31AA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D5C6469" wp14:editId="1C84F71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9DB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C646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009DB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4084396" wp14:editId="3C15B29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93F7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B5D0A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8439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5693F7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B5D0A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8254ACF"/>
    <w:multiLevelType w:val="hybridMultilevel"/>
    <w:tmpl w:val="3C46C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2C06F2"/>
    <w:rsid w:val="00314AFB"/>
    <w:rsid w:val="003B76D9"/>
    <w:rsid w:val="00404E5B"/>
    <w:rsid w:val="00414F7B"/>
    <w:rsid w:val="004355DC"/>
    <w:rsid w:val="004749B4"/>
    <w:rsid w:val="00494130"/>
    <w:rsid w:val="004F3523"/>
    <w:rsid w:val="005973B9"/>
    <w:rsid w:val="005B3A56"/>
    <w:rsid w:val="006060CE"/>
    <w:rsid w:val="0063497F"/>
    <w:rsid w:val="0078738A"/>
    <w:rsid w:val="007A2575"/>
    <w:rsid w:val="00873DF0"/>
    <w:rsid w:val="008756E6"/>
    <w:rsid w:val="00951F3F"/>
    <w:rsid w:val="009B2D44"/>
    <w:rsid w:val="009C2C6D"/>
    <w:rsid w:val="00A07E82"/>
    <w:rsid w:val="00A9710C"/>
    <w:rsid w:val="00AE3E37"/>
    <w:rsid w:val="00B21A57"/>
    <w:rsid w:val="00C33602"/>
    <w:rsid w:val="00C36C1C"/>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3796CC"/>
  <w15:docId w15:val="{5B334749-5D77-4F84-934C-5A89604A9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A2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daajmal99@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nida</cp:lastModifiedBy>
  <cp:revision>3</cp:revision>
  <cp:lastPrinted>2019-09-23T15:58:00Z</cp:lastPrinted>
  <dcterms:created xsi:type="dcterms:W3CDTF">2019-09-23T15:58:00Z</dcterms:created>
  <dcterms:modified xsi:type="dcterms:W3CDTF">2019-09-23T15:59:00Z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