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5D20" w:rsidRPr="009D16DE" w:rsidRDefault="00115D20" w:rsidP="00115D20">
      <w:pPr>
        <w:spacing w:line="360" w:lineRule="auto"/>
        <w:jc w:val="center"/>
        <w:rPr>
          <w:rFonts w:asciiTheme="majorBidi" w:hAnsiTheme="majorBidi" w:cstheme="majorBidi"/>
          <w:sz w:val="24"/>
          <w:szCs w:val="24"/>
        </w:rPr>
      </w:pPr>
      <w:r w:rsidRPr="009D16DE">
        <w:rPr>
          <w:rFonts w:asciiTheme="majorBidi" w:hAnsiTheme="majorBidi" w:cstheme="majorBidi"/>
          <w:sz w:val="24"/>
          <w:szCs w:val="24"/>
        </w:rPr>
        <w:t xml:space="preserve">COMPARISON OF EARLY EFFECTS OF PCV7, PCV10 AND PCV13 ON </w:t>
      </w:r>
      <w:r w:rsidRPr="009D16DE">
        <w:rPr>
          <w:rFonts w:asciiTheme="majorBidi" w:hAnsiTheme="majorBidi" w:cstheme="majorBidi"/>
          <w:i/>
          <w:iCs/>
          <w:sz w:val="24"/>
          <w:szCs w:val="24"/>
        </w:rPr>
        <w:t xml:space="preserve">S. PNEUMONIAE </w:t>
      </w:r>
      <w:r w:rsidRPr="009D16DE">
        <w:rPr>
          <w:rFonts w:asciiTheme="majorBidi" w:hAnsiTheme="majorBidi" w:cstheme="majorBidi"/>
          <w:sz w:val="24"/>
          <w:szCs w:val="24"/>
        </w:rPr>
        <w:t>(SP) NASOPHARYNGEAL CARRIAGE IN A POPULATION BASED STUDY; THE PALESTINIAN-ISRAELI COLLABORATIVE RESEARCH (PICR)</w:t>
      </w:r>
    </w:p>
    <w:p w:rsidR="00115D20" w:rsidRDefault="00115D20" w:rsidP="00115D20">
      <w:pPr>
        <w:spacing w:line="480" w:lineRule="auto"/>
        <w:jc w:val="both"/>
        <w:rPr>
          <w:color w:val="000000"/>
          <w:sz w:val="27"/>
          <w:szCs w:val="27"/>
        </w:rPr>
      </w:pPr>
      <w:r>
        <w:rPr>
          <w:color w:val="000000"/>
          <w:sz w:val="27"/>
          <w:szCs w:val="27"/>
        </w:rPr>
        <w:t>Mahmoud Ramlawi (Al-Quds University)</w:t>
      </w:r>
    </w:p>
    <w:p w:rsidR="00115D20" w:rsidRDefault="00115D20" w:rsidP="00115D20">
      <w:pPr>
        <w:spacing w:line="480" w:lineRule="auto"/>
        <w:jc w:val="both"/>
        <w:rPr>
          <w:color w:val="000000"/>
          <w:sz w:val="27"/>
          <w:szCs w:val="27"/>
        </w:rPr>
      </w:pPr>
      <w:r>
        <w:rPr>
          <w:color w:val="000000"/>
          <w:sz w:val="27"/>
          <w:szCs w:val="27"/>
        </w:rPr>
        <w:t>Kifaya Azmi (Al-Quds University)</w:t>
      </w:r>
    </w:p>
    <w:p w:rsidR="00115D20" w:rsidRDefault="00115D20" w:rsidP="00115D20">
      <w:pPr>
        <w:spacing w:line="480" w:lineRule="auto"/>
        <w:jc w:val="both"/>
        <w:rPr>
          <w:color w:val="000000"/>
          <w:sz w:val="27"/>
          <w:szCs w:val="27"/>
        </w:rPr>
      </w:pPr>
      <w:r>
        <w:rPr>
          <w:color w:val="000000"/>
          <w:sz w:val="27"/>
          <w:szCs w:val="27"/>
        </w:rPr>
        <w:t>Ziad Abdeen (Al-Quds University)</w:t>
      </w:r>
    </w:p>
    <w:p w:rsidR="00115D20" w:rsidRPr="002913E8" w:rsidRDefault="00115D20" w:rsidP="00115D20">
      <w:pPr>
        <w:spacing w:line="480" w:lineRule="auto"/>
        <w:jc w:val="both"/>
        <w:rPr>
          <w:rFonts w:asciiTheme="minorBidi" w:hAnsiTheme="minorBidi"/>
          <w:i/>
          <w:iCs/>
          <w:sz w:val="24"/>
          <w:szCs w:val="24"/>
        </w:rPr>
      </w:pPr>
      <w:r w:rsidRPr="002913E8">
        <w:rPr>
          <w:rFonts w:asciiTheme="minorBidi" w:hAnsiTheme="minorBidi"/>
          <w:i/>
          <w:iCs/>
          <w:sz w:val="24"/>
          <w:szCs w:val="24"/>
        </w:rPr>
        <w:t>Streptococcus pneumoniae can asymptomatically colonize the nasopharynx and cause a various range of illnesses.</w:t>
      </w:r>
      <w:r w:rsidRPr="002913E8">
        <w:rPr>
          <w:rFonts w:asciiTheme="minorBidi" w:hAnsiTheme="minorBidi"/>
          <w:sz w:val="24"/>
          <w:szCs w:val="24"/>
          <w:lang w:bidi="ar-SA"/>
        </w:rPr>
        <w:t xml:space="preserve"> Pneumococcal conjugate vaccines (PCVs) are at present used in different countries</w:t>
      </w:r>
      <w:r w:rsidRPr="002913E8">
        <w:rPr>
          <w:rFonts w:asciiTheme="minorBidi" w:hAnsiTheme="minorBidi"/>
          <w:i/>
          <w:iCs/>
          <w:sz w:val="24"/>
          <w:szCs w:val="24"/>
        </w:rPr>
        <w:t>.</w:t>
      </w:r>
      <w:r w:rsidRPr="002913E8">
        <w:rPr>
          <w:rFonts w:asciiTheme="minorBidi" w:hAnsiTheme="minorBidi"/>
          <w:sz w:val="24"/>
          <w:szCs w:val="24"/>
        </w:rPr>
        <w:t>The aim of the study is to determine the effect of different vaccination policies PCV7/13 to that PCV10 on the carriage rates and comparing the impact of different vaccination policies in East Jerusalem (EJ) and the Palestinian Authority (PA).</w:t>
      </w:r>
    </w:p>
    <w:p w:rsidR="00115D20" w:rsidRPr="002913E8" w:rsidRDefault="00115D20" w:rsidP="00115D20">
      <w:pPr>
        <w:spacing w:line="480" w:lineRule="auto"/>
        <w:jc w:val="both"/>
        <w:rPr>
          <w:rFonts w:asciiTheme="minorBidi" w:hAnsiTheme="minorBidi"/>
          <w:sz w:val="24"/>
          <w:szCs w:val="24"/>
        </w:rPr>
      </w:pPr>
      <w:r w:rsidRPr="002913E8">
        <w:rPr>
          <w:rFonts w:asciiTheme="minorBidi" w:hAnsiTheme="minorBidi"/>
          <w:sz w:val="24"/>
          <w:szCs w:val="24"/>
        </w:rPr>
        <w:t>Methods</w:t>
      </w:r>
      <w:r w:rsidRPr="002913E8">
        <w:rPr>
          <w:rFonts w:asciiTheme="minorBidi" w:hAnsiTheme="minorBidi"/>
          <w:i/>
          <w:iCs/>
          <w:sz w:val="24"/>
          <w:szCs w:val="24"/>
        </w:rPr>
        <w:t xml:space="preserve">: </w:t>
      </w:r>
      <w:r w:rsidRPr="002913E8">
        <w:rPr>
          <w:rFonts w:asciiTheme="minorBidi" w:hAnsiTheme="minorBidi"/>
          <w:sz w:val="24"/>
          <w:szCs w:val="24"/>
        </w:rPr>
        <w:t xml:space="preserve">Five cross-sectional surveillancesof </w:t>
      </w:r>
      <w:r w:rsidRPr="002913E8">
        <w:rPr>
          <w:rFonts w:asciiTheme="minorBidi" w:hAnsiTheme="minorBidi"/>
          <w:i/>
          <w:iCs/>
          <w:sz w:val="24"/>
          <w:szCs w:val="24"/>
        </w:rPr>
        <w:t>S</w:t>
      </w:r>
      <w:r w:rsidRPr="002913E8">
        <w:rPr>
          <w:rFonts w:asciiTheme="minorBidi" w:hAnsiTheme="minorBidi"/>
          <w:sz w:val="24"/>
          <w:szCs w:val="24"/>
        </w:rPr>
        <w:t xml:space="preserve">. </w:t>
      </w:r>
      <w:r w:rsidRPr="002913E8">
        <w:rPr>
          <w:rFonts w:asciiTheme="minorBidi" w:hAnsiTheme="minorBidi"/>
          <w:i/>
          <w:iCs/>
          <w:sz w:val="24"/>
          <w:szCs w:val="24"/>
        </w:rPr>
        <w:t>pneumoniae</w:t>
      </w:r>
      <w:r w:rsidRPr="002913E8">
        <w:rPr>
          <w:rFonts w:asciiTheme="minorBidi" w:hAnsiTheme="minorBidi"/>
          <w:sz w:val="24"/>
          <w:szCs w:val="24"/>
        </w:rPr>
        <w:t xml:space="preserve"> that were carried out in EJ and PA, where two Palestinian populations with different vaccination policies were screened, with an annual average of 348 and 616 children., respectively, were performed during 2009-2016. Nasopharyngeal swabs and data were collected from children less than 5.5 years old visiting primary care physicians who visited any of three, large private pediatric clinics in Bethlehem, Nablus, and Ramallah in PA. In East-Jerusalem (EJ), PCV7 was implemented in 2009 and replaced by PCV13 in late 2010, while in Palestine (PA), PCV10 was implemented in 2011.</w:t>
      </w:r>
    </w:p>
    <w:p w:rsidR="00115D20" w:rsidRPr="002913E8" w:rsidRDefault="00115D20" w:rsidP="00115D20">
      <w:pPr>
        <w:spacing w:line="480" w:lineRule="auto"/>
        <w:jc w:val="both"/>
        <w:rPr>
          <w:rFonts w:asciiTheme="minorBidi" w:hAnsiTheme="minorBidi"/>
          <w:i/>
          <w:iCs/>
          <w:sz w:val="24"/>
          <w:szCs w:val="24"/>
        </w:rPr>
      </w:pPr>
      <w:r w:rsidRPr="002913E8">
        <w:rPr>
          <w:rFonts w:asciiTheme="minorBidi" w:hAnsiTheme="minorBidi"/>
          <w:sz w:val="24"/>
          <w:szCs w:val="24"/>
        </w:rPr>
        <w:t xml:space="preserve"> Swabs were streaked on tryptic-soy agar plates supplemented with sheep-blood and 5 micrograms/ml gentamycin and were incubated overnight at 35°C in 5% CO</w:t>
      </w:r>
      <w:r w:rsidRPr="002913E8">
        <w:rPr>
          <w:rFonts w:ascii="Cambria Math" w:hAnsi="Cambria Math" w:cs="Cambria Math"/>
          <w:sz w:val="24"/>
          <w:szCs w:val="24"/>
        </w:rPr>
        <w:t>₂</w:t>
      </w:r>
      <w:r w:rsidRPr="002913E8">
        <w:rPr>
          <w:rFonts w:asciiTheme="minorBidi" w:hAnsiTheme="minorBidi"/>
          <w:sz w:val="24"/>
          <w:szCs w:val="24"/>
        </w:rPr>
        <w:t xml:space="preserve"> enriched </w:t>
      </w:r>
      <w:r w:rsidRPr="002913E8">
        <w:rPr>
          <w:rFonts w:asciiTheme="minorBidi" w:hAnsiTheme="minorBidi"/>
          <w:sz w:val="24"/>
          <w:szCs w:val="24"/>
        </w:rPr>
        <w:lastRenderedPageBreak/>
        <w:t xml:space="preserve">air to detect the presence of </w:t>
      </w:r>
      <w:r w:rsidRPr="002913E8">
        <w:rPr>
          <w:rFonts w:asciiTheme="minorBidi" w:hAnsiTheme="minorBidi"/>
          <w:i/>
          <w:iCs/>
          <w:sz w:val="24"/>
          <w:szCs w:val="24"/>
        </w:rPr>
        <w:t>S. pneumoniae.</w:t>
      </w:r>
      <w:r w:rsidRPr="002913E8">
        <w:rPr>
          <w:rFonts w:asciiTheme="minorBidi" w:hAnsiTheme="minorBidi"/>
          <w:sz w:val="24"/>
          <w:szCs w:val="24"/>
        </w:rPr>
        <w:t xml:space="preserve"> Presumed colonies of </w:t>
      </w:r>
      <w:r w:rsidRPr="002913E8">
        <w:rPr>
          <w:rFonts w:asciiTheme="minorBidi" w:hAnsiTheme="minorBidi"/>
          <w:i/>
          <w:iCs/>
          <w:sz w:val="24"/>
          <w:szCs w:val="24"/>
        </w:rPr>
        <w:t>S. pneumoniae</w:t>
      </w:r>
      <w:r w:rsidRPr="002913E8">
        <w:rPr>
          <w:rFonts w:asciiTheme="minorBidi" w:hAnsiTheme="minorBidi"/>
          <w:sz w:val="24"/>
          <w:szCs w:val="24"/>
        </w:rPr>
        <w:t xml:space="preserve"> were identified by morphological characteristics, such as </w:t>
      </w:r>
      <m:oMath>
        <m:r>
          <w:rPr>
            <w:rFonts w:ascii="Cambria Math" w:hAnsi="Cambria Math"/>
            <w:sz w:val="24"/>
            <w:szCs w:val="24"/>
          </w:rPr>
          <m:t>α</m:t>
        </m:r>
      </m:oMath>
      <w:r w:rsidRPr="002913E8">
        <w:rPr>
          <w:rFonts w:asciiTheme="minorBidi" w:hAnsiTheme="minorBidi"/>
          <w:sz w:val="24"/>
          <w:szCs w:val="24"/>
        </w:rPr>
        <w:t xml:space="preserve"> hemolysis and optochin susceptibility. </w:t>
      </w:r>
      <w:r w:rsidRPr="002913E8">
        <w:rPr>
          <w:rFonts w:asciiTheme="minorBidi" w:hAnsiTheme="minorBidi"/>
          <w:i/>
          <w:iCs/>
          <w:sz w:val="24"/>
          <w:szCs w:val="24"/>
        </w:rPr>
        <w:t>S. pneumoniae</w:t>
      </w:r>
      <w:r w:rsidRPr="002913E8">
        <w:rPr>
          <w:rFonts w:asciiTheme="minorBidi" w:hAnsiTheme="minorBidi"/>
          <w:sz w:val="24"/>
          <w:szCs w:val="24"/>
        </w:rPr>
        <w:t xml:space="preserve"> serogroup was determined by the latex agglutination testand</w:t>
      </w:r>
      <w:r w:rsidRPr="002913E8">
        <w:rPr>
          <w:rFonts w:asciiTheme="minorBidi" w:hAnsiTheme="minorBidi"/>
          <w:i/>
          <w:iCs/>
          <w:sz w:val="24"/>
          <w:szCs w:val="24"/>
        </w:rPr>
        <w:t xml:space="preserve"> S. pneumoniae</w:t>
      </w:r>
      <w:r w:rsidRPr="002913E8">
        <w:rPr>
          <w:rFonts w:asciiTheme="minorBidi" w:hAnsiTheme="minorBidi"/>
          <w:sz w:val="24"/>
          <w:szCs w:val="24"/>
        </w:rPr>
        <w:t xml:space="preserve"> serotype was determined and confirmed using PCR and gel-electrophoresis.</w:t>
      </w:r>
    </w:p>
    <w:p w:rsidR="00115D20" w:rsidRPr="002913E8" w:rsidRDefault="00115D20" w:rsidP="00115D20">
      <w:pPr>
        <w:spacing w:line="480" w:lineRule="auto"/>
        <w:jc w:val="both"/>
        <w:rPr>
          <w:rFonts w:asciiTheme="minorBidi" w:hAnsiTheme="minorBidi"/>
          <w:i/>
          <w:iCs/>
          <w:sz w:val="24"/>
          <w:szCs w:val="24"/>
        </w:rPr>
      </w:pPr>
      <w:r w:rsidRPr="002913E8">
        <w:rPr>
          <w:rFonts w:asciiTheme="minorBidi" w:hAnsiTheme="minorBidi"/>
          <w:b/>
          <w:bCs/>
          <w:sz w:val="24"/>
          <w:szCs w:val="24"/>
        </w:rPr>
        <w:t xml:space="preserve"> Results</w:t>
      </w:r>
      <w:r w:rsidRPr="002913E8">
        <w:rPr>
          <w:rFonts w:asciiTheme="minorBidi" w:hAnsiTheme="minorBidi"/>
          <w:i/>
          <w:iCs/>
          <w:sz w:val="24"/>
          <w:szCs w:val="24"/>
        </w:rPr>
        <w:t>:</w:t>
      </w:r>
    </w:p>
    <w:p w:rsidR="00115D20" w:rsidRPr="002913E8" w:rsidRDefault="00115D20" w:rsidP="00115D20">
      <w:pPr>
        <w:spacing w:line="480" w:lineRule="auto"/>
        <w:jc w:val="both"/>
        <w:rPr>
          <w:rFonts w:asciiTheme="minorBidi" w:hAnsiTheme="minorBidi"/>
          <w:sz w:val="24"/>
          <w:szCs w:val="24"/>
        </w:rPr>
      </w:pPr>
      <w:r w:rsidRPr="002913E8">
        <w:rPr>
          <w:rFonts w:asciiTheme="minorBidi" w:hAnsiTheme="minorBidi"/>
          <w:sz w:val="24"/>
          <w:szCs w:val="24"/>
        </w:rPr>
        <w:t xml:space="preserve">A total of 4686 children were screened in EJ (n=1615) and PA (n=3070), and the overall rate of </w:t>
      </w:r>
      <w:r w:rsidRPr="002913E8">
        <w:rPr>
          <w:rFonts w:asciiTheme="minorBidi" w:hAnsiTheme="minorBidi"/>
          <w:i/>
          <w:iCs/>
          <w:sz w:val="24"/>
          <w:szCs w:val="24"/>
        </w:rPr>
        <w:t>S. pneumoniae</w:t>
      </w:r>
      <w:r w:rsidRPr="002913E8">
        <w:rPr>
          <w:rFonts w:asciiTheme="minorBidi" w:hAnsiTheme="minorBidi"/>
          <w:sz w:val="24"/>
          <w:szCs w:val="24"/>
        </w:rPr>
        <w:t xml:space="preserve"> carriage did not change significantly during the 5 first years of the study, in either population. The pediatric subjects from EJ were determined to carry </w:t>
      </w:r>
      <w:r w:rsidRPr="002913E8">
        <w:rPr>
          <w:rFonts w:asciiTheme="minorBidi" w:hAnsiTheme="minorBidi"/>
          <w:i/>
          <w:iCs/>
          <w:sz w:val="24"/>
          <w:szCs w:val="24"/>
        </w:rPr>
        <w:t>S. pneumoniae</w:t>
      </w:r>
      <w:r w:rsidRPr="002913E8">
        <w:rPr>
          <w:rFonts w:asciiTheme="minorBidi" w:hAnsiTheme="minorBidi"/>
          <w:sz w:val="24"/>
          <w:szCs w:val="24"/>
        </w:rPr>
        <w:t xml:space="preserve"> during the 5 years study, 2009, 2010, 2011, 2014, and 2016 as 28.9%, 29.3% ,26.9%,30.7% and 16.9%, respectively. In adition 35.9%, 33.6%, 28.8%, 28.6% and 32.9% of the pediatric subjects from PA were shown to carry </w:t>
      </w:r>
      <w:r w:rsidRPr="002913E8">
        <w:rPr>
          <w:rFonts w:asciiTheme="minorBidi" w:hAnsiTheme="minorBidi"/>
          <w:i/>
          <w:iCs/>
          <w:sz w:val="24"/>
          <w:szCs w:val="24"/>
        </w:rPr>
        <w:t>S. pneumoniae</w:t>
      </w:r>
      <w:r w:rsidRPr="002913E8">
        <w:rPr>
          <w:rFonts w:asciiTheme="minorBidi" w:hAnsiTheme="minorBidi"/>
          <w:sz w:val="24"/>
          <w:szCs w:val="24"/>
        </w:rPr>
        <w:t>, respectively.By year 2016</w:t>
      </w:r>
      <w:r w:rsidRPr="002913E8">
        <w:rPr>
          <w:rFonts w:asciiTheme="minorBidi" w:hAnsiTheme="minorBidi"/>
          <w:i/>
          <w:iCs/>
          <w:sz w:val="24"/>
          <w:szCs w:val="24"/>
        </w:rPr>
        <w:t>, S. pneumoniae</w:t>
      </w:r>
      <w:r w:rsidRPr="002913E8">
        <w:rPr>
          <w:rFonts w:asciiTheme="minorBidi" w:hAnsiTheme="minorBidi"/>
          <w:sz w:val="24"/>
          <w:szCs w:val="24"/>
        </w:rPr>
        <w:t xml:space="preserve"> carriage reduced significantly in EJ from ~29% on average to ~17%, following seven year application of PCV7/13</w:t>
      </w:r>
      <w:r w:rsidRPr="002913E8">
        <w:rPr>
          <w:rFonts w:asciiTheme="minorBidi" w:hAnsiTheme="minorBidi"/>
          <w:i/>
          <w:iCs/>
          <w:sz w:val="24"/>
          <w:szCs w:val="24"/>
        </w:rPr>
        <w:t xml:space="preserve">. </w:t>
      </w:r>
      <w:r w:rsidRPr="002913E8">
        <w:rPr>
          <w:rFonts w:asciiTheme="minorBidi" w:hAnsiTheme="minorBidi"/>
          <w:sz w:val="24"/>
          <w:szCs w:val="24"/>
        </w:rPr>
        <w:t>In PA, where follow-up includes only 5 years after PCV10 application,</w:t>
      </w:r>
      <w:r w:rsidRPr="002913E8">
        <w:rPr>
          <w:rFonts w:asciiTheme="minorBidi" w:hAnsiTheme="minorBidi"/>
          <w:i/>
          <w:iCs/>
          <w:sz w:val="24"/>
          <w:szCs w:val="24"/>
        </w:rPr>
        <w:t xml:space="preserve"> S. pneumoniae</w:t>
      </w:r>
      <w:r w:rsidRPr="002913E8">
        <w:rPr>
          <w:rFonts w:asciiTheme="minorBidi" w:hAnsiTheme="minorBidi"/>
          <w:sz w:val="24"/>
          <w:szCs w:val="24"/>
        </w:rPr>
        <w:t xml:space="preserve"> carriage remained ~30%. Interestingly, VT7 strains gradually decreased following PCV implementation.  Following vaccine implementation, during the study period, there was a significant decrease in carriage of </w:t>
      </w:r>
      <w:r w:rsidRPr="002913E8">
        <w:rPr>
          <w:rFonts w:asciiTheme="minorBidi" w:hAnsiTheme="minorBidi"/>
          <w:i/>
          <w:iCs/>
          <w:sz w:val="24"/>
          <w:szCs w:val="24"/>
        </w:rPr>
        <w:t>S. pneumoniae</w:t>
      </w:r>
      <w:r w:rsidRPr="002913E8">
        <w:rPr>
          <w:rFonts w:asciiTheme="minorBidi" w:hAnsiTheme="minorBidi"/>
          <w:sz w:val="24"/>
          <w:szCs w:val="24"/>
        </w:rPr>
        <w:t xml:space="preserve"> in the EJ between 2009 and 2016 (p=0.001). No significant variation was seen in the overall carriage of S. pneumoniae between 2009 to 2016 in PA (p=0.065). PCV10 was introduced to PA late in 2011, but S. pneumoniae carriage was approximately (160/566) 28% in2011, prior to vaccine introduction, and (216/656), 32.9% in 2016, five years following vaccine implementation.</w:t>
      </w:r>
    </w:p>
    <w:p w:rsidR="00115D20" w:rsidRPr="002913E8" w:rsidRDefault="00115D20" w:rsidP="00115D20">
      <w:pPr>
        <w:spacing w:line="480" w:lineRule="auto"/>
        <w:jc w:val="both"/>
        <w:rPr>
          <w:rFonts w:asciiTheme="minorBidi" w:hAnsiTheme="minorBidi"/>
          <w:sz w:val="24"/>
          <w:szCs w:val="24"/>
        </w:rPr>
      </w:pPr>
      <w:r w:rsidRPr="002913E8">
        <w:rPr>
          <w:rFonts w:asciiTheme="minorBidi" w:hAnsiTheme="minorBidi"/>
          <w:sz w:val="24"/>
          <w:szCs w:val="24"/>
        </w:rPr>
        <w:lastRenderedPageBreak/>
        <w:t>In PA region, PA VT13-10 strains declined as well from 18.87% in 2011 to 9.78% in 2014, but re-emerged to 18.06% in 2016.</w:t>
      </w:r>
    </w:p>
    <w:p w:rsidR="00115D20" w:rsidRPr="002913E8" w:rsidRDefault="00115D20" w:rsidP="00115D20">
      <w:pPr>
        <w:spacing w:line="480" w:lineRule="auto"/>
        <w:jc w:val="both"/>
        <w:rPr>
          <w:rFonts w:asciiTheme="minorBidi" w:hAnsiTheme="minorBidi"/>
          <w:sz w:val="24"/>
          <w:szCs w:val="24"/>
        </w:rPr>
      </w:pPr>
      <w:r w:rsidRPr="002913E8">
        <w:rPr>
          <w:rFonts w:asciiTheme="minorBidi" w:hAnsiTheme="minorBidi"/>
          <w:sz w:val="24"/>
          <w:szCs w:val="24"/>
        </w:rPr>
        <w:t>In both EJ and PA, a significant increase of non-VT isolates was observed between 2009 and 2016 following vaccine implementation (p&lt;0.0001 in both regions). Between 2009 and 2016, in EJ and PA, there was a non-statistically significant decrease in PNSSP prevalence following vaccine implementation (p=0.2251 and p=0.1864, respectively). S. pneumoniae carriage among the parents was relatively rare, with 3.3% of parents detected as nasopharyngeal carriers in both regions throughout the five study years.</w:t>
      </w:r>
    </w:p>
    <w:p w:rsidR="00115D20" w:rsidRPr="00815869" w:rsidRDefault="00115D20" w:rsidP="00115D20">
      <w:pPr>
        <w:shd w:val="clear" w:color="auto" w:fill="FFFFFF" w:themeFill="background1"/>
        <w:spacing w:line="480" w:lineRule="auto"/>
        <w:jc w:val="both"/>
        <w:rPr>
          <w:rFonts w:asciiTheme="minorBidi" w:hAnsiTheme="minorBidi"/>
          <w:sz w:val="24"/>
          <w:szCs w:val="24"/>
        </w:rPr>
      </w:pPr>
      <w:r w:rsidRPr="00815869">
        <w:rPr>
          <w:rFonts w:asciiTheme="minorBidi" w:hAnsiTheme="minorBidi"/>
          <w:i/>
          <w:iCs/>
          <w:sz w:val="24"/>
          <w:szCs w:val="24"/>
        </w:rPr>
        <w:t xml:space="preserve">Conclusions: </w:t>
      </w:r>
      <w:r w:rsidRPr="00815869">
        <w:rPr>
          <w:rFonts w:asciiTheme="minorBidi" w:hAnsiTheme="minorBidi"/>
          <w:sz w:val="24"/>
          <w:szCs w:val="24"/>
        </w:rPr>
        <w:t xml:space="preserve">Following PCV implementation, a dramatic decrease in the prevalence of VT strains was observed in EJ, and PA. </w:t>
      </w:r>
    </w:p>
    <w:p w:rsidR="00115D20" w:rsidRPr="00CB3477" w:rsidRDefault="00115D20" w:rsidP="00115D20">
      <w:pPr>
        <w:jc w:val="both"/>
        <w:rPr>
          <w:color w:val="FF0000"/>
          <w:rtl/>
        </w:rPr>
      </w:pPr>
      <w:r w:rsidRPr="00CB3477">
        <w:rPr>
          <w:i/>
          <w:iCs/>
          <w:color w:val="FF0000"/>
        </w:rPr>
        <w:t>Keywords:Streptococcus pneumoniae</w:t>
      </w:r>
      <w:r w:rsidRPr="00CB3477">
        <w:rPr>
          <w:color w:val="FF0000"/>
        </w:rPr>
        <w:t>, pneumococcal conjugate vaccine, vaccine-type s</w:t>
      </w:r>
      <w:r>
        <w:rPr>
          <w:color w:val="FF0000"/>
        </w:rPr>
        <w:t xml:space="preserve">train, non-vaccine type strains, </w:t>
      </w:r>
      <w:r>
        <w:rPr>
          <w:rFonts w:asciiTheme="majorBidi" w:hAnsiTheme="majorBidi" w:cstheme="majorBidi"/>
          <w:sz w:val="24"/>
          <w:szCs w:val="24"/>
        </w:rPr>
        <w:t>7-valent PCV (PCV7),</w:t>
      </w:r>
    </w:p>
    <w:p w:rsidR="00115D20" w:rsidRDefault="00115D20" w:rsidP="00115D20">
      <w:pPr>
        <w:ind w:firstLine="720"/>
        <w:jc w:val="both"/>
      </w:pPr>
    </w:p>
    <w:p w:rsidR="005534F0" w:rsidRDefault="00115D20">
      <w:pPr>
        <w:rPr>
          <w:rFonts w:ascii="Times New Roman" w:hAnsi="Times New Roman" w:cs="Times New Roman"/>
          <w:b/>
          <w:iCs/>
          <w:sz w:val="24"/>
        </w:rPr>
      </w:pPr>
      <w:r>
        <w:rPr>
          <w:rFonts w:ascii="Times New Roman" w:hAnsi="Times New Roman" w:cs="Times New Roman"/>
          <w:b/>
          <w:iCs/>
          <w:sz w:val="24"/>
        </w:rPr>
        <w:t xml:space="preserve">Professional </w:t>
      </w:r>
      <w:r w:rsidRPr="00DF04E3">
        <w:rPr>
          <w:rFonts w:ascii="Times New Roman" w:hAnsi="Times New Roman" w:cs="Times New Roman"/>
          <w:b/>
          <w:iCs/>
          <w:sz w:val="24"/>
        </w:rPr>
        <w:t>Biography</w:t>
      </w:r>
      <w:r>
        <w:rPr>
          <w:rFonts w:ascii="Times New Roman" w:hAnsi="Times New Roman" w:cs="Times New Roman"/>
          <w:b/>
          <w:iCs/>
          <w:sz w:val="24"/>
        </w:rPr>
        <w:t>:</w:t>
      </w:r>
    </w:p>
    <w:p w:rsidR="00115D20" w:rsidRDefault="00115D20" w:rsidP="0083287A">
      <w:pPr>
        <w:pStyle w:val="HTMLPreformatted"/>
        <w:jc w:val="both"/>
        <w:rPr>
          <w:rFonts w:asciiTheme="majorBidi" w:hAnsiTheme="majorBidi" w:cstheme="majorBidi"/>
          <w:iCs/>
          <w:sz w:val="24"/>
          <w:szCs w:val="24"/>
        </w:rPr>
      </w:pPr>
      <w:r w:rsidRPr="0083287A">
        <w:rPr>
          <w:rFonts w:asciiTheme="majorBidi" w:hAnsiTheme="majorBidi" w:cstheme="majorBidi"/>
          <w:iCs/>
          <w:sz w:val="24"/>
          <w:szCs w:val="24"/>
        </w:rPr>
        <w:t xml:space="preserve">Mahmoud Ramlawi has completed his Master degree at the age of 27 years from Al-Quds University and </w:t>
      </w:r>
      <w:r w:rsidR="0083287A" w:rsidRPr="0083287A">
        <w:rPr>
          <w:rFonts w:asciiTheme="majorBidi" w:hAnsiTheme="majorBidi" w:cstheme="majorBidi"/>
          <w:sz w:val="24"/>
          <w:szCs w:val="24"/>
        </w:rPr>
        <w:t>Graduated from Al-Quds University in the Faculty of Health Professions BA in Medical Laboratory Sciences.</w:t>
      </w:r>
      <w:r w:rsidR="0083287A">
        <w:rPr>
          <w:rFonts w:asciiTheme="majorBidi" w:hAnsiTheme="majorBidi" w:cstheme="majorBidi"/>
          <w:sz w:val="24"/>
          <w:szCs w:val="24"/>
        </w:rPr>
        <w:t xml:space="preserve">i am </w:t>
      </w:r>
      <w:r w:rsidR="0083287A" w:rsidRPr="0083287A">
        <w:rPr>
          <w:rFonts w:asciiTheme="majorBidi" w:hAnsiTheme="majorBidi" w:cstheme="majorBidi"/>
          <w:iCs/>
          <w:sz w:val="24"/>
          <w:szCs w:val="24"/>
        </w:rPr>
        <w:t>working at Augusta Victoria Hospital as a clinical laboratory technologist in Jerusalem</w:t>
      </w:r>
      <w:r w:rsidRPr="0083287A">
        <w:rPr>
          <w:rFonts w:asciiTheme="majorBidi" w:hAnsiTheme="majorBidi" w:cstheme="majorBidi"/>
          <w:iCs/>
          <w:sz w:val="24"/>
          <w:szCs w:val="24"/>
        </w:rPr>
        <w:t xml:space="preserve">. He </w:t>
      </w:r>
      <w:r w:rsidR="0083287A" w:rsidRPr="0083287A">
        <w:rPr>
          <w:rFonts w:asciiTheme="majorBidi" w:hAnsiTheme="majorBidi" w:cstheme="majorBidi"/>
          <w:sz w:val="24"/>
          <w:szCs w:val="24"/>
        </w:rPr>
        <w:t>was the head of Medical laboratory science club from 2013 till 2015 at AL-Quds University</w:t>
      </w:r>
      <w:r w:rsidRPr="0083287A">
        <w:rPr>
          <w:rFonts w:asciiTheme="majorBidi" w:hAnsiTheme="majorBidi" w:cstheme="majorBidi"/>
          <w:iCs/>
          <w:sz w:val="24"/>
          <w:szCs w:val="24"/>
        </w:rPr>
        <w:t xml:space="preserve">. </w:t>
      </w:r>
    </w:p>
    <w:p w:rsidR="0083287A" w:rsidRPr="00DF04E3" w:rsidRDefault="0083287A" w:rsidP="0083287A">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Mahmoud_2008@live.com</w:t>
      </w:r>
    </w:p>
    <w:p w:rsidR="0083287A" w:rsidRPr="0083287A" w:rsidRDefault="0083287A" w:rsidP="0083287A">
      <w:pPr>
        <w:pStyle w:val="HTMLPreformatted"/>
        <w:jc w:val="both"/>
        <w:rPr>
          <w:rFonts w:asciiTheme="majorBidi" w:hAnsiTheme="majorBidi" w:cstheme="majorBidi"/>
          <w:iCs/>
          <w:sz w:val="24"/>
          <w:szCs w:val="24"/>
        </w:rPr>
      </w:pPr>
    </w:p>
    <w:p w:rsidR="00115D20" w:rsidRPr="00115D20" w:rsidRDefault="0083287A" w:rsidP="00115D20">
      <w:pPr>
        <w:rPr>
          <w:lang w:val="en-GB"/>
        </w:rPr>
      </w:pPr>
      <w:r>
        <w:rPr>
          <w:noProof/>
          <w:lang w:bidi="ar-SA"/>
        </w:rPr>
        <w:drawing>
          <wp:inline distT="0" distB="0" distL="0" distR="0">
            <wp:extent cx="2074576" cy="1658329"/>
            <wp:effectExtent l="19050" t="0" r="1874" b="0"/>
            <wp:docPr id="1" name="Picture 1" descr="C:\Users\lab\Desktop\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ab\Desktop\Untitled.png"/>
                    <pic:cNvPicPr>
                      <a:picLocks noChangeAspect="1" noChangeArrowheads="1"/>
                    </pic:cNvPicPr>
                  </pic:nvPicPr>
                  <pic:blipFill>
                    <a:blip r:embed="rId6" cstate="print"/>
                    <a:srcRect/>
                    <a:stretch>
                      <a:fillRect/>
                    </a:stretch>
                  </pic:blipFill>
                  <pic:spPr bwMode="auto">
                    <a:xfrm>
                      <a:off x="0" y="0"/>
                      <a:ext cx="2074576" cy="1658329"/>
                    </a:xfrm>
                    <a:prstGeom prst="rect">
                      <a:avLst/>
                    </a:prstGeom>
                    <a:noFill/>
                    <a:ln w="9525">
                      <a:noFill/>
                      <a:miter lim="800000"/>
                      <a:headEnd/>
                      <a:tailEnd/>
                    </a:ln>
                  </pic:spPr>
                </pic:pic>
              </a:graphicData>
            </a:graphic>
          </wp:inline>
        </w:drawing>
      </w:r>
    </w:p>
    <w:sectPr w:rsidR="00115D20" w:rsidRPr="00115D20" w:rsidSect="005534F0">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A5CA0" w:rsidRDefault="00BA5CA0" w:rsidP="0083287A">
      <w:pPr>
        <w:spacing w:after="0" w:line="240" w:lineRule="auto"/>
      </w:pPr>
      <w:r>
        <w:separator/>
      </w:r>
    </w:p>
  </w:endnote>
  <w:endnote w:type="continuationSeparator" w:id="1">
    <w:p w:rsidR="00BA5CA0" w:rsidRDefault="00BA5CA0" w:rsidP="0083287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A5CA0" w:rsidRDefault="00BA5CA0" w:rsidP="0083287A">
      <w:pPr>
        <w:spacing w:after="0" w:line="240" w:lineRule="auto"/>
      </w:pPr>
      <w:r>
        <w:separator/>
      </w:r>
    </w:p>
  </w:footnote>
  <w:footnote w:type="continuationSeparator" w:id="1">
    <w:p w:rsidR="00BA5CA0" w:rsidRDefault="00BA5CA0" w:rsidP="0083287A">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15D20"/>
    <w:rsid w:val="00115D20"/>
    <w:rsid w:val="005534F0"/>
    <w:rsid w:val="0083287A"/>
    <w:rsid w:val="00BA5CA0"/>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5D20"/>
    <w:pPr>
      <w:spacing w:after="160" w:line="259" w:lineRule="auto"/>
    </w:pPr>
    <w:rPr>
      <w:lang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15D20"/>
    <w:rPr>
      <w:sz w:val="16"/>
      <w:szCs w:val="16"/>
    </w:rPr>
  </w:style>
  <w:style w:type="paragraph" w:styleId="BalloonText">
    <w:name w:val="Balloon Text"/>
    <w:basedOn w:val="Normal"/>
    <w:link w:val="BalloonTextChar"/>
    <w:uiPriority w:val="99"/>
    <w:semiHidden/>
    <w:unhideWhenUsed/>
    <w:rsid w:val="00115D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5D20"/>
    <w:rPr>
      <w:rFonts w:ascii="Tahoma" w:hAnsi="Tahoma" w:cs="Tahoma"/>
      <w:sz w:val="16"/>
      <w:szCs w:val="16"/>
      <w:lang w:bidi="he-IL"/>
    </w:rPr>
  </w:style>
  <w:style w:type="paragraph" w:styleId="HTMLPreformatted">
    <w:name w:val="HTML Preformatted"/>
    <w:basedOn w:val="Normal"/>
    <w:link w:val="HTMLPreformattedChar"/>
    <w:rsid w:val="00115D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bidi="ar-SA"/>
    </w:rPr>
  </w:style>
  <w:style w:type="character" w:customStyle="1" w:styleId="HTMLPreformattedChar">
    <w:name w:val="HTML Preformatted Char"/>
    <w:basedOn w:val="DefaultParagraphFont"/>
    <w:link w:val="HTMLPreformatted"/>
    <w:rsid w:val="00115D20"/>
    <w:rPr>
      <w:rFonts w:ascii="Arial Unicode MS" w:eastAsia="Arial Unicode MS" w:hAnsi="Arial Unicode MS" w:cs="Arial Unicode MS"/>
      <w:color w:val="000000"/>
      <w:sz w:val="20"/>
      <w:szCs w:val="20"/>
      <w:lang w:val="en-GB"/>
    </w:rPr>
  </w:style>
  <w:style w:type="paragraph" w:styleId="Header">
    <w:name w:val="header"/>
    <w:basedOn w:val="Normal"/>
    <w:link w:val="HeaderChar"/>
    <w:uiPriority w:val="99"/>
    <w:semiHidden/>
    <w:unhideWhenUsed/>
    <w:rsid w:val="0083287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3287A"/>
    <w:rPr>
      <w:lang w:bidi="he-IL"/>
    </w:rPr>
  </w:style>
  <w:style w:type="paragraph" w:styleId="Footer">
    <w:name w:val="footer"/>
    <w:basedOn w:val="Normal"/>
    <w:link w:val="FooterChar"/>
    <w:uiPriority w:val="99"/>
    <w:semiHidden/>
    <w:unhideWhenUsed/>
    <w:rsid w:val="0083287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3287A"/>
    <w:rPr>
      <w:lang w:bidi="he-I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3</Pages>
  <Words>679</Words>
  <Characters>3873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dc:creator>
  <cp:lastModifiedBy>lab</cp:lastModifiedBy>
  <cp:revision>1</cp:revision>
  <dcterms:created xsi:type="dcterms:W3CDTF">2019-03-21T09:22:00Z</dcterms:created>
  <dcterms:modified xsi:type="dcterms:W3CDTF">2019-03-21T09:43:00Z</dcterms:modified>
</cp:coreProperties>
</file>