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/>
        <w:spacing w:line="300" w:lineRule="auto"/>
        <w:ind w:left="0" w:leftChars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Title</w:t>
      </w:r>
      <w:r>
        <w:rPr>
          <w:rFonts w:ascii="Arial" w:hAnsi="Arial" w:cs="Arial"/>
          <w:sz w:val="20"/>
          <w:szCs w:val="20"/>
        </w:rPr>
        <w:t>: Outcomes Among COVID-19 Patients with Underlying Hepatitis B Infection: A Two-Year Retrospective Study in a Tertiary Hospital</w:t>
      </w:r>
    </w:p>
    <w:p>
      <w:pPr>
        <w:pStyle w:val="4"/>
        <w:snapToGrid/>
        <w:spacing w:line="300" w:lineRule="auto"/>
        <w:ind w:left="0" w:leftChars="0"/>
        <w:jc w:val="left"/>
        <w:rPr>
          <w:rFonts w:ascii="Arial" w:hAnsi="Arial" w:cs="Arial"/>
          <w:sz w:val="20"/>
          <w:szCs w:val="20"/>
        </w:rPr>
      </w:pPr>
    </w:p>
    <w:p>
      <w:pPr>
        <w:pStyle w:val="4"/>
        <w:snapToGrid/>
        <w:spacing w:line="300" w:lineRule="auto"/>
        <w:ind w:left="0" w:leftChars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Authors</w:t>
      </w:r>
      <w:r>
        <w:rPr>
          <w:rFonts w:ascii="Arial" w:hAnsi="Arial" w:cs="Arial"/>
          <w:sz w:val="20"/>
          <w:szCs w:val="20"/>
        </w:rPr>
        <w:t>: Dr. Jennylyn D. Isanan, Dr. Ralph N. Aniceto</w:t>
      </w:r>
    </w:p>
    <w:p>
      <w:pPr>
        <w:pStyle w:val="4"/>
        <w:snapToGrid/>
        <w:spacing w:line="300" w:lineRule="auto"/>
        <w:ind w:left="0" w:leftChars="0"/>
        <w:jc w:val="left"/>
        <w:rPr>
          <w:rFonts w:ascii="Arial" w:hAnsi="Arial" w:cs="Arial"/>
          <w:sz w:val="20"/>
          <w:szCs w:val="20"/>
        </w:rPr>
      </w:pPr>
    </w:p>
    <w:p>
      <w:pPr>
        <w:pStyle w:val="4"/>
        <w:spacing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ABSTRACT</w:t>
      </w:r>
    </w:p>
    <w:p>
      <w:p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Background</w:t>
      </w:r>
      <w:r>
        <w:rPr>
          <w:rFonts w:ascii="Arial" w:hAnsi="Arial" w:cs="Arial"/>
          <w:sz w:val="20"/>
          <w:szCs w:val="20"/>
        </w:rPr>
        <w:t xml:space="preserve">: Chronic Hepatitis B infection is still a global burden endemically occurring in the </w:t>
      </w:r>
      <w:r>
        <w:rPr>
          <w:rFonts w:ascii="Arial" w:hAnsi="Arial" w:cs="Arial"/>
          <w:sz w:val="20"/>
          <w:szCs w:val="20"/>
        </w:rPr>
        <w:t>Philippines</w:t>
      </w:r>
      <w:r>
        <w:rPr>
          <w:rFonts w:ascii="Arial" w:hAnsi="Arial" w:cs="Arial"/>
          <w:sz w:val="20"/>
          <w:szCs w:val="20"/>
        </w:rPr>
        <w:t>, and with the ongoing COVID-19 pandemic, it is likely to find patients that may be suffering from co-infection. Elevated transaminases signifying liver injury have been commonly seen with COVID-19 patients as part of the disease’s manifestation. Studies showed that presence of underlying viral hepatitis infection may impact clinical outcomes of COVID-19 patients leading to worse prognosis.</w:t>
      </w:r>
    </w:p>
    <w:p>
      <w:pPr>
        <w:snapToGrid/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Objectives: </w:t>
      </w:r>
      <w:r>
        <w:rPr>
          <w:rFonts w:ascii="Arial" w:hAnsi="Arial" w:cs="Arial"/>
          <w:sz w:val="20"/>
          <w:szCs w:val="20"/>
        </w:rPr>
        <w:t>To describe the clinico-demographic profile and corresponding outcomes of COVID-19 patients with underlying Hepatitis B infection.</w:t>
      </w:r>
    </w:p>
    <w:p>
      <w:pPr>
        <w:snapToGrid/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Methods</w:t>
      </w:r>
      <w:r>
        <w:rPr>
          <w:rFonts w:ascii="Arial" w:hAnsi="Arial" w:cs="Arial"/>
          <w:sz w:val="20"/>
          <w:szCs w:val="20"/>
        </w:rPr>
        <w:t xml:space="preserve">: Medical data were collected from 640 medical charts of admitted COVID-19 patients who underwent Hepatitis B screening and their corresponding outcomes </w:t>
      </w:r>
      <w:r>
        <w:rPr>
          <w:rFonts w:ascii="Arial" w:hAnsi="Arial" w:cs="Arial"/>
          <w:sz w:val="20"/>
          <w:szCs w:val="20"/>
        </w:rPr>
        <w:t>from July 2020 to December 2022</w:t>
      </w:r>
      <w:r>
        <w:rPr>
          <w:rFonts w:ascii="Arial" w:hAnsi="Arial" w:cs="Arial"/>
          <w:sz w:val="20"/>
          <w:szCs w:val="20"/>
        </w:rPr>
        <w:t>.</w:t>
      </w:r>
    </w:p>
    <w:p>
      <w:pPr>
        <w:snapToGrid/>
        <w:spacing w:line="300" w:lineRule="auto"/>
        <w:jc w:val="both"/>
        <w:rPr>
          <w:rFonts w:ascii="Arial" w:hAnsi="Arial" w:eastAsia="Calibri" w:cs="Arial"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Results</w:t>
      </w:r>
      <w:r>
        <w:rPr>
          <w:rFonts w:ascii="Arial" w:hAnsi="Arial" w:cs="Arial"/>
          <w:sz w:val="20"/>
          <w:szCs w:val="20"/>
        </w:rPr>
        <w:t>: Of the 640 participants, 33 (5.2%) were found to have underlying hepatitis B infection. Among them, majority was found to have comorbidities, elevated ALT levels, moderate severity of COVID-19 and overall good survival. 3 (9.1%) out of 33 COVID-19 patients with underlying hepatitis B infection died. There was only a slightly higher mortality risk with hepatitis group compared to those without hepatitis (9.1% vs. 8.9%).</w:t>
      </w:r>
    </w:p>
    <w:p>
      <w:pPr>
        <w:snapToGrid/>
        <w:spacing w:line="300" w:lineRule="auto"/>
        <w:rPr>
          <w:rFonts w:ascii="Arial" w:hAnsi="Arial" w:eastAsia="Calibri" w:cs="Arial"/>
          <w:color w:val="000000"/>
          <w:sz w:val="20"/>
          <w:szCs w:val="20"/>
        </w:rPr>
      </w:pPr>
      <w:r>
        <w:rPr>
          <w:rFonts w:ascii="Arial" w:hAnsi="Arial" w:eastAsia="Calibri" w:cs="Arial"/>
          <w:b/>
          <w:color w:val="000000"/>
          <w:sz w:val="20"/>
          <w:szCs w:val="20"/>
        </w:rPr>
        <w:t>Conclusion</w:t>
      </w:r>
      <w:r>
        <w:rPr>
          <w:rFonts w:ascii="Arial" w:hAnsi="Arial" w:eastAsia="Calibri" w:cs="Arial"/>
          <w:color w:val="000000"/>
          <w:sz w:val="20"/>
          <w:szCs w:val="20"/>
        </w:rPr>
        <w:t xml:space="preserve">: </w:t>
      </w:r>
      <w:r>
        <w:rPr>
          <w:rFonts w:ascii="Arial" w:hAnsi="Arial" w:eastAsia="Calibri" w:cs="Arial"/>
          <w:color w:val="000000"/>
          <w:sz w:val="20"/>
          <w:szCs w:val="20"/>
        </w:rPr>
        <w:t>Majority of COVID-19 patients with underlying hepatitis infection survived albeit having slightly higher mortality risk compared to those without.</w:t>
      </w:r>
      <w:r>
        <w:rPr>
          <w:rFonts w:ascii="Arial" w:hAnsi="Arial" w:eastAsia="Calibri" w:cs="Arial"/>
          <w:color w:val="000000"/>
          <w:sz w:val="20"/>
          <w:szCs w:val="20"/>
        </w:rPr>
        <w:t xml:space="preserve"> Further analysis as to the Hepatitis infectivity status and its impact with COVID-19 co-infection is warranted.</w:t>
      </w:r>
    </w:p>
    <w:p>
      <w:pPr>
        <w:snapToGrid/>
        <w:spacing w:line="300" w:lineRule="auto"/>
        <w:rPr>
          <w:rFonts w:ascii="Arial" w:hAnsi="Arial" w:eastAsia="Calibri" w:cs="Arial"/>
          <w:color w:val="000000"/>
          <w:sz w:val="20"/>
          <w:szCs w:val="20"/>
        </w:rPr>
      </w:pPr>
      <w:r>
        <w:rPr>
          <w:rFonts w:ascii="Arial" w:hAnsi="Arial" w:eastAsia="Calibri" w:cs="Arial"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229870</wp:posOffset>
            </wp:positionV>
            <wp:extent cx="1431925" cy="1431925"/>
            <wp:effectExtent l="0" t="0" r="635" b="635"/>
            <wp:wrapTight wrapText="bothSides">
              <wp:wrapPolygon>
                <wp:start x="0" y="0"/>
                <wp:lineTo x="0" y="21667"/>
                <wp:lineTo x="21667" y="21667"/>
                <wp:lineTo x="21667" y="0"/>
                <wp:lineTo x="0" y="0"/>
              </wp:wrapPolygon>
            </wp:wrapTight>
            <wp:docPr id="1" name="Picture 1" descr="2023-08-18 00:56:16.14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023-08-18 00:56:16.142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1"/>
        </w:numPr>
        <w:tabs>
          <w:tab w:val="clear" w:pos="420"/>
        </w:tabs>
        <w:snapToGrid w:val="0"/>
        <w:spacing w:line="192" w:lineRule="auto"/>
        <w:ind w:left="420" w:leftChars="0" w:hanging="420" w:firstLineChars="0"/>
        <w:rPr>
          <w:rFonts w:ascii="Arial" w:hAnsi="Arial" w:eastAsia="Calibri" w:cs="Arial"/>
          <w:color w:val="000000"/>
          <w:sz w:val="20"/>
          <w:szCs w:val="20"/>
        </w:rPr>
      </w:pPr>
      <w:r>
        <w:rPr>
          <w:rFonts w:ascii="Arial" w:hAnsi="Arial" w:eastAsia="Calibri" w:cs="Arial"/>
          <w:color w:val="000000"/>
          <w:sz w:val="20"/>
          <w:szCs w:val="20"/>
        </w:rPr>
        <w:t xml:space="preserve">My name is </w:t>
      </w:r>
      <w:r>
        <w:rPr>
          <w:rFonts w:ascii="Arial" w:hAnsi="Arial" w:eastAsia="Calibri" w:cs="Arial"/>
          <w:color w:val="000000"/>
          <w:sz w:val="20"/>
          <w:szCs w:val="20"/>
        </w:rPr>
        <w:t>Dr. Jennylyn D. Isanan</w:t>
      </w:r>
      <w:r>
        <w:rPr>
          <w:rFonts w:ascii="Arial" w:hAnsi="Arial" w:eastAsia="Calibri" w:cs="Arial"/>
          <w:color w:val="000000"/>
          <w:sz w:val="20"/>
          <w:szCs w:val="20"/>
        </w:rPr>
        <w:t>, 31 years old from the Philippines. I finished my Internal Medicine Residency at the Divine Word Hospital, a tertiary training hospital in the Philippines. I recently passed the specialty board examination on</w:t>
      </w:r>
      <w:r>
        <w:rPr>
          <w:rFonts w:ascii="Arial" w:hAnsi="Arial" w:eastAsia="Calibri" w:cs="Arial"/>
          <w:color w:val="000000"/>
          <w:sz w:val="20"/>
          <w:szCs w:val="20"/>
        </w:rPr>
        <w:t xml:space="preserve"> Internal Medicine</w:t>
      </w:r>
      <w:r>
        <w:rPr>
          <w:rFonts w:ascii="Arial" w:hAnsi="Arial" w:eastAsia="Calibri" w:cs="Arial"/>
          <w:color w:val="000000"/>
          <w:sz w:val="20"/>
          <w:szCs w:val="20"/>
        </w:rPr>
        <w:t xml:space="preserve"> last March 23, 2023 and currently building my career as a private practitioner and planning to further specialize in Gastroenterology. </w:t>
      </w:r>
    </w:p>
    <w:p>
      <w:pPr>
        <w:numPr>
          <w:ilvl w:val="0"/>
          <w:numId w:val="1"/>
        </w:numPr>
        <w:tabs>
          <w:tab w:val="clear" w:pos="420"/>
        </w:tabs>
        <w:snapToGrid w:val="0"/>
        <w:spacing w:line="192" w:lineRule="auto"/>
        <w:ind w:left="420" w:leftChars="0" w:hanging="420" w:firstLineChars="0"/>
        <w:rPr>
          <w:rFonts w:ascii="Arial" w:hAnsi="Arial" w:eastAsia="Calibri" w:cs="Arial"/>
          <w:color w:val="000000"/>
          <w:sz w:val="20"/>
          <w:szCs w:val="20"/>
        </w:rPr>
      </w:pPr>
      <w:r>
        <w:rPr>
          <w:rFonts w:ascii="Arial" w:hAnsi="Arial" w:eastAsia="Calibri" w:cs="Arial"/>
          <w:color w:val="000000"/>
          <w:sz w:val="20"/>
          <w:szCs w:val="20"/>
        </w:rPr>
        <w:t xml:space="preserve">Email address: </w:t>
      </w:r>
      <w:r>
        <w:rPr>
          <w:rFonts w:ascii="Arial" w:hAnsi="Arial" w:eastAsia="Calibri" w:cs="Arial"/>
          <w:color w:val="000000"/>
          <w:sz w:val="20"/>
          <w:szCs w:val="20"/>
        </w:rPr>
        <w:t>jenisanan25@gmail.</w:t>
      </w:r>
      <w:r>
        <w:rPr>
          <w:rFonts w:ascii="Arial" w:hAnsi="Arial" w:eastAsia="Calibri" w:cs="Arial"/>
          <w:color w:val="000000"/>
          <w:sz w:val="20"/>
          <w:szCs w:val="20"/>
        </w:rPr>
        <w:t>com</w:t>
      </w:r>
      <w:bookmarkStart w:id="0" w:name="_GoBack"/>
      <w:bookmarkEnd w:id="0"/>
    </w:p>
    <w:p>
      <w:pPr>
        <w:rPr>
          <w:rFonts w:ascii="Arial" w:hAnsi="Arial" w:eastAsia="Calibri" w:cs="Arial"/>
          <w:color w:val="000000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rebuchet MS Bold">
    <w:panose1 w:val="020B0703020202020204"/>
    <w:charset w:val="00"/>
    <w:family w:val="auto"/>
    <w:pitch w:val="default"/>
    <w:sig w:usb0="00000000" w:usb1="00000000" w:usb2="00000000" w:usb3="00000000" w:csb0="0000009F" w:csb1="00000000"/>
  </w:font>
  <w:font w:name="Trebuchet MS">
    <w:panose1 w:val="020B0603020202020204"/>
    <w:charset w:val="00"/>
    <w:family w:val="swiss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 Math"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E525C"/>
    <w:multiLevelType w:val="singleLevel"/>
    <w:tmpl w:val="64DE525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2023-08-19T00:31:11Z</dcterms:created>
  <dc:creator>iPhone</dc:creator>
  <cp:lastModifiedBy>iPhone</cp:lastModifiedBy>
  <dcterms:modified xsi:type="dcterms:W3CDTF">2023-08-21T21:44:08Z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3081-11.33.30</vt:lpwstr>
  </property>
  <property fmtid="{D5CDD505-2E9C-101B-9397-08002B2CF9AE}" pid="3" name="ICV">
    <vt:lpwstr>44382DAEE263A44D4F4BDE64052369EB_31</vt:lpwstr>
  </property>
</Properties>
</file>