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32"/>
          <w:shd w:fill="auto" w:val="clear"/>
        </w:rPr>
        <w:t xml:space="preserve">AMPK modulatory activity of polyphenols from </w:t>
      </w:r>
      <w:r>
        <w:rPr>
          <w:rFonts w:ascii="Times New Roman" w:hAnsi="Times New Roman" w:cs="Times New Roman" w:eastAsia="Times New Roman"/>
          <w:b/>
          <w:i/>
          <w:color w:val="auto"/>
          <w:spacing w:val="0"/>
          <w:position w:val="0"/>
          <w:sz w:val="32"/>
          <w:shd w:fill="auto" w:val="clear"/>
        </w:rPr>
        <w:t xml:space="preserve">Lippia citriodora: </w:t>
      </w:r>
      <w:r>
        <w:rPr>
          <w:rFonts w:ascii="Times New Roman" w:hAnsi="Times New Roman" w:cs="Times New Roman" w:eastAsia="Times New Roman"/>
          <w:b/>
          <w:color w:val="auto"/>
          <w:spacing w:val="0"/>
          <w:position w:val="0"/>
          <w:sz w:val="32"/>
          <w:shd w:fill="auto" w:val="clear"/>
        </w:rPr>
        <w:t xml:space="preserve">a dietary strategy against obesity.</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center"/>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Olivares-Vicente, Mariló</w:t>
      </w:r>
      <w:r>
        <w:rPr>
          <w:rFonts w:ascii="Times New Roman" w:hAnsi="Times New Roman" w:cs="Times New Roman" w:eastAsia="Times New Roman"/>
          <w:color w:val="000000"/>
          <w:spacing w:val="0"/>
          <w:position w:val="0"/>
          <w:sz w:val="22"/>
          <w:shd w:fill="auto" w:val="clear"/>
          <w:vertAlign w:val="superscript"/>
        </w:rPr>
        <w:t xml:space="preserve">1</w:t>
      </w:r>
      <w:r>
        <w:rPr>
          <w:rFonts w:ascii="Times New Roman" w:hAnsi="Times New Roman" w:cs="Times New Roman" w:eastAsia="Times New Roman"/>
          <w:color w:val="000000"/>
          <w:spacing w:val="0"/>
          <w:position w:val="0"/>
          <w:sz w:val="22"/>
          <w:shd w:fill="auto" w:val="clear"/>
        </w:rPr>
        <w:t xml:space="preserve">; Herranz-López, María</w:t>
      </w:r>
      <w:r>
        <w:rPr>
          <w:rFonts w:ascii="Times New Roman" w:hAnsi="Times New Roman" w:cs="Times New Roman" w:eastAsia="Times New Roman"/>
          <w:color w:val="000000"/>
          <w:spacing w:val="0"/>
          <w:position w:val="0"/>
          <w:sz w:val="22"/>
          <w:shd w:fill="auto" w:val="clear"/>
          <w:vertAlign w:val="superscript"/>
        </w:rPr>
        <w:t xml:space="preserve">1</w:t>
      </w:r>
      <w:r>
        <w:rPr>
          <w:rFonts w:ascii="Times New Roman" w:hAnsi="Times New Roman" w:cs="Times New Roman" w:eastAsia="Times New Roman"/>
          <w:color w:val="000000"/>
          <w:spacing w:val="0"/>
          <w:position w:val="0"/>
          <w:sz w:val="22"/>
          <w:shd w:fill="auto" w:val="clear"/>
        </w:rPr>
        <w:t xml:space="preserve">; Cádiz-Gurrea, María de la Luz</w:t>
      </w:r>
      <w:r>
        <w:rPr>
          <w:rFonts w:ascii="Times New Roman" w:hAnsi="Times New Roman" w:cs="Times New Roman" w:eastAsia="Times New Roman"/>
          <w:color w:val="000000"/>
          <w:spacing w:val="0"/>
          <w:position w:val="0"/>
          <w:sz w:val="22"/>
          <w:shd w:fill="auto" w:val="clear"/>
          <w:vertAlign w:val="superscript"/>
        </w:rPr>
        <w:t xml:space="preserve">2</w:t>
      </w:r>
      <w:r>
        <w:rPr>
          <w:rFonts w:ascii="Times New Roman" w:hAnsi="Times New Roman" w:cs="Times New Roman" w:eastAsia="Times New Roman"/>
          <w:color w:val="000000"/>
          <w:spacing w:val="0"/>
          <w:position w:val="0"/>
          <w:sz w:val="22"/>
          <w:shd w:fill="auto" w:val="clear"/>
        </w:rPr>
        <w:t xml:space="preserve">; Barrajon-Catalan, Enrique</w:t>
      </w:r>
      <w:r>
        <w:rPr>
          <w:rFonts w:ascii="Times New Roman" w:hAnsi="Times New Roman" w:cs="Times New Roman" w:eastAsia="Times New Roman"/>
          <w:color w:val="000000"/>
          <w:spacing w:val="0"/>
          <w:position w:val="0"/>
          <w:sz w:val="22"/>
          <w:shd w:fill="auto" w:val="clear"/>
          <w:vertAlign w:val="superscript"/>
        </w:rPr>
        <w:t xml:space="preserve">1</w:t>
      </w:r>
      <w:r>
        <w:rPr>
          <w:rFonts w:ascii="Times New Roman" w:hAnsi="Times New Roman" w:cs="Times New Roman" w:eastAsia="Times New Roman"/>
          <w:color w:val="000000"/>
          <w:spacing w:val="0"/>
          <w:position w:val="0"/>
          <w:sz w:val="22"/>
          <w:shd w:fill="auto" w:val="clear"/>
        </w:rPr>
        <w:t xml:space="preserve">; Segura-Carretero, Antonio</w:t>
      </w:r>
      <w:r>
        <w:rPr>
          <w:rFonts w:ascii="Times New Roman" w:hAnsi="Times New Roman" w:cs="Times New Roman" w:eastAsia="Times New Roman"/>
          <w:color w:val="000000"/>
          <w:spacing w:val="0"/>
          <w:position w:val="0"/>
          <w:sz w:val="22"/>
          <w:shd w:fill="auto" w:val="clear"/>
          <w:vertAlign w:val="superscript"/>
        </w:rPr>
        <w:t xml:space="preserve">2</w:t>
      </w:r>
      <w:r>
        <w:rPr>
          <w:rFonts w:ascii="Times New Roman" w:hAnsi="Times New Roman" w:cs="Times New Roman" w:eastAsia="Times New Roman"/>
          <w:color w:val="000000"/>
          <w:spacing w:val="0"/>
          <w:position w:val="0"/>
          <w:sz w:val="22"/>
          <w:shd w:fill="auto" w:val="clear"/>
        </w:rPr>
        <w:t xml:space="preserve">; Micol, Vicente</w:t>
      </w:r>
      <w:r>
        <w:rPr>
          <w:rFonts w:ascii="Times New Roman" w:hAnsi="Times New Roman" w:cs="Times New Roman" w:eastAsia="Times New Roman"/>
          <w:color w:val="000000"/>
          <w:spacing w:val="0"/>
          <w:position w:val="0"/>
          <w:sz w:val="22"/>
          <w:shd w:fill="auto" w:val="clear"/>
          <w:vertAlign w:val="superscript"/>
        </w:rPr>
        <w:t xml:space="preserve">1,3</w:t>
      </w:r>
      <w:r>
        <w:rPr>
          <w:rFonts w:ascii="Times New Roman" w:hAnsi="Times New Roman" w:cs="Times New Roman" w:eastAsia="Times New Roman"/>
          <w:color w:val="000000"/>
          <w:spacing w:val="0"/>
          <w:position w:val="0"/>
          <w:sz w:val="22"/>
          <w:shd w:fill="auto" w:val="clear"/>
        </w:rPr>
        <w:t xml:space="preserve">.</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Times New Roman" w:hAnsi="Times New Roman" w:cs="Times New Roman" w:eastAsia="Times New Roman"/>
          <w:i/>
          <w:color w:val="000000"/>
          <w:spacing w:val="0"/>
          <w:position w:val="0"/>
          <w:sz w:val="24"/>
          <w:shd w:fill="auto" w:val="clear"/>
          <w:vertAlign w:val="superscript"/>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Times New Roman" w:hAnsi="Times New Roman" w:cs="Times New Roman" w:eastAsia="Times New Roman"/>
          <w:i/>
          <w:color w:val="000000"/>
          <w:spacing w:val="0"/>
          <w:position w:val="0"/>
          <w:sz w:val="22"/>
          <w:shd w:fill="auto" w:val="clear"/>
          <w:vertAlign w:val="superscript"/>
        </w:rPr>
      </w:pPr>
      <w:r>
        <w:rPr>
          <w:rFonts w:ascii="Times New Roman" w:hAnsi="Times New Roman" w:cs="Times New Roman" w:eastAsia="Times New Roman"/>
          <w:i/>
          <w:color w:val="000000"/>
          <w:spacing w:val="0"/>
          <w:position w:val="0"/>
          <w:sz w:val="22"/>
          <w:shd w:fill="auto" w:val="clear"/>
          <w:vertAlign w:val="superscript"/>
        </w:rPr>
        <w:t xml:space="preserve">1 </w:t>
      </w:r>
      <w:r>
        <w:rPr>
          <w:rFonts w:ascii="Times New Roman" w:hAnsi="Times New Roman" w:cs="Times New Roman" w:eastAsia="Times New Roman"/>
          <w:i/>
          <w:color w:val="000000"/>
          <w:spacing w:val="0"/>
          <w:position w:val="0"/>
          <w:sz w:val="22"/>
          <w:shd w:fill="auto" w:val="clear"/>
        </w:rPr>
        <w:t xml:space="preserve">Institute of Molecular and Cell Biology (Miguel Hernández University of Elche, Spain).</w:t>
      </w:r>
      <w:r>
        <w:rPr>
          <w:rFonts w:ascii="Times New Roman" w:hAnsi="Times New Roman" w:cs="Times New Roman" w:eastAsia="Times New Roman"/>
          <w:i/>
          <w:color w:val="000000"/>
          <w:spacing w:val="0"/>
          <w:position w:val="0"/>
          <w:sz w:val="22"/>
          <w:shd w:fill="auto" w:val="clear"/>
          <w:vertAlign w:val="superscript"/>
        </w:rPr>
        <w:t xml:space="preserve"> </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Times New Roman" w:hAnsi="Times New Roman" w:cs="Times New Roman" w:eastAsia="Times New Roman"/>
          <w:i/>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vertAlign w:val="superscript"/>
        </w:rPr>
        <w:t xml:space="preserve">2 </w:t>
      </w:r>
      <w:r>
        <w:rPr>
          <w:rFonts w:ascii="Times New Roman" w:hAnsi="Times New Roman" w:cs="Times New Roman" w:eastAsia="Times New Roman"/>
          <w:i/>
          <w:color w:val="000000"/>
          <w:spacing w:val="0"/>
          <w:position w:val="0"/>
          <w:sz w:val="22"/>
          <w:shd w:fill="auto" w:val="clear"/>
        </w:rPr>
        <w:t xml:space="preserve">Research and Development of Functional Food Centre (CIDAF) (Granada, Spain).</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Times New Roman" w:hAnsi="Times New Roman" w:cs="Times New Roman" w:eastAsia="Times New Roman"/>
          <w:i/>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vertAlign w:val="superscript"/>
        </w:rPr>
        <w:t xml:space="preserve">3</w:t>
      </w:r>
      <w:r>
        <w:rPr>
          <w:rFonts w:ascii="Times New Roman" w:hAnsi="Times New Roman" w:cs="Times New Roman" w:eastAsia="Times New Roman"/>
          <w:color w:val="000000"/>
          <w:spacing w:val="0"/>
          <w:position w:val="0"/>
          <w:sz w:val="22"/>
          <w:shd w:fill="auto" w:val="clear"/>
          <w:vertAlign w:val="superscript"/>
        </w:rPr>
        <w:t xml:space="preserve"> </w:t>
      </w:r>
      <w:r>
        <w:rPr>
          <w:rFonts w:ascii="Times New Roman" w:hAnsi="Times New Roman" w:cs="Times New Roman" w:eastAsia="Times New Roman"/>
          <w:i/>
          <w:color w:val="000000"/>
          <w:spacing w:val="0"/>
          <w:position w:val="0"/>
          <w:sz w:val="22"/>
          <w:shd w:fill="auto" w:val="clear"/>
        </w:rPr>
        <w:t xml:space="preserve">CIBER, Fisiopatología de la Obesidad y la Nutrición, CIBERobn, Instituto de Salud Carlos III (CB12/03/30038) (Spain).</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Times New Roman" w:hAnsi="Times New Roman" w:cs="Times New Roman" w:eastAsia="Times New Roman"/>
          <w:i/>
          <w:color w:val="000000"/>
          <w:spacing w:val="0"/>
          <w:position w:val="0"/>
          <w:sz w:val="24"/>
          <w:shd w:fill="auto" w:val="clear"/>
          <w:vertAlign w:val="superscript"/>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Abstract </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Natural dietary products as polyphenols derived from plants have been considered by their potential for the prevention and treatment of several diseases for years. Nevertheless, many of these compounds exert beneficial effects through mechanisms that remain unclear. Recent evidences are postulating AMP-activated protein kinase (AMPK) as an important molecular target for the management of diseases related to obesity.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this study, we aimed to fractionate a commercial extract of </w:t>
      </w:r>
      <w:r>
        <w:rPr>
          <w:rFonts w:ascii="Times New Roman" w:hAnsi="Times New Roman" w:cs="Times New Roman" w:eastAsia="Times New Roman"/>
          <w:i/>
          <w:color w:val="auto"/>
          <w:spacing w:val="0"/>
          <w:position w:val="0"/>
          <w:sz w:val="24"/>
          <w:shd w:fill="auto" w:val="clear"/>
        </w:rPr>
        <w:t xml:space="preserve">Lippia citriodora</w:t>
      </w:r>
      <w:r>
        <w:rPr>
          <w:rFonts w:ascii="Times New Roman" w:hAnsi="Times New Roman" w:cs="Times New Roman" w:eastAsia="Times New Roman"/>
          <w:color w:val="auto"/>
          <w:spacing w:val="0"/>
          <w:position w:val="0"/>
          <w:sz w:val="24"/>
          <w:shd w:fill="auto" w:val="clear"/>
        </w:rPr>
        <w:t xml:space="preserve"> and investigate the capacity of its polyphenolic compounds to modulate AMPK on a hypertrophied adipocyte model.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HPLC semi-preparative purification method and reverse phase high performance liquid chromatography coupled to time-of-flight mass detection with electrospray ionization (RP-HPLC-ESI-TOF/MS) were used to obtain the compounds from </w:t>
      </w:r>
      <w:r>
        <w:rPr>
          <w:rFonts w:ascii="Times New Roman" w:hAnsi="Times New Roman" w:cs="Times New Roman" w:eastAsia="Times New Roman"/>
          <w:i/>
          <w:color w:val="auto"/>
          <w:spacing w:val="0"/>
          <w:position w:val="0"/>
          <w:sz w:val="24"/>
          <w:shd w:fill="auto" w:val="clear"/>
        </w:rPr>
        <w:t xml:space="preserve">Lippia citriodora</w:t>
      </w:r>
      <w:r>
        <w:rPr>
          <w:rFonts w:ascii="Times New Roman" w:hAnsi="Times New Roman" w:cs="Times New Roman" w:eastAsia="Times New Roman"/>
          <w:color w:val="auto"/>
          <w:spacing w:val="0"/>
          <w:position w:val="0"/>
          <w:sz w:val="24"/>
          <w:shd w:fill="auto" w:val="clear"/>
        </w:rPr>
        <w:t xml:space="preserve"> extract. AMPK activity was measured by immunofluorescence assay on hypertrophied 3T3-L1 adipocytes, which were previously obtained by incubating cells with high levels of glucose for 17 days.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total of 29 compounds have been tentatively identified in </w:t>
      </w:r>
      <w:r>
        <w:rPr>
          <w:rFonts w:ascii="Times New Roman" w:hAnsi="Times New Roman" w:cs="Times New Roman" w:eastAsia="Times New Roman"/>
          <w:i/>
          <w:color w:val="auto"/>
          <w:spacing w:val="0"/>
          <w:position w:val="0"/>
          <w:sz w:val="24"/>
          <w:shd w:fill="auto" w:val="clear"/>
        </w:rPr>
        <w:t xml:space="preserve">L. citriodora</w:t>
      </w:r>
      <w:r>
        <w:rPr>
          <w:rFonts w:ascii="Times New Roman" w:hAnsi="Times New Roman" w:cs="Times New Roman" w:eastAsia="Times New Roman"/>
          <w:color w:val="auto"/>
          <w:spacing w:val="0"/>
          <w:position w:val="0"/>
          <w:sz w:val="24"/>
          <w:shd w:fill="auto" w:val="clear"/>
        </w:rPr>
        <w:t xml:space="preserve">, being phenylpropanoids the major class of compounds found. Phenylpropanoids such as verbascoside, iridoids such as gardoside and flavonoids such as luteolin-7-diglucoronide were the best candidates to account for activating AMPK on adipocytes.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conclude, specific phenylpropanoids, iridoids and flavones from </w:t>
      </w:r>
      <w:r>
        <w:rPr>
          <w:rFonts w:ascii="Times New Roman" w:hAnsi="Times New Roman" w:cs="Times New Roman" w:eastAsia="Times New Roman"/>
          <w:i/>
          <w:color w:val="auto"/>
          <w:spacing w:val="0"/>
          <w:position w:val="0"/>
          <w:sz w:val="24"/>
          <w:shd w:fill="auto" w:val="clear"/>
        </w:rPr>
        <w:t xml:space="preserve">L. citriodora</w:t>
      </w:r>
      <w:r>
        <w:rPr>
          <w:rFonts w:ascii="Times New Roman" w:hAnsi="Times New Roman" w:cs="Times New Roman" w:eastAsia="Times New Roman"/>
          <w:color w:val="auto"/>
          <w:spacing w:val="0"/>
          <w:position w:val="0"/>
          <w:sz w:val="24"/>
          <w:shd w:fill="auto" w:val="clear"/>
        </w:rPr>
        <w:t xml:space="preserve"> may be the responsible for activating AMPK. Further research may be required to obtain combinations of the bioactive compounds that could be used as a nutraceutical for the management of obesity-associated diseases. </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Keywords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i/>
          <w:color w:val="000000"/>
          <w:spacing w:val="0"/>
          <w:position w:val="0"/>
          <w:sz w:val="24"/>
          <w:shd w:fill="auto" w:val="clear"/>
        </w:rPr>
        <w:t xml:space="preserve"> AMPK, Lippia citriodora, 3T3-L1, polyphenols.</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Professional Biography </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Mariló Olivares-Vicente is a graduate in Biotechnology at the Miguel Hernández </w:t>
      </w:r>
      <w:r>
        <w:rPr>
          <w:rFonts w:ascii="Times New Roman" w:hAnsi="Times New Roman" w:cs="Times New Roman" w:eastAsia="Times New Roman"/>
          <w:color w:val="000000"/>
          <w:spacing w:val="0"/>
          <w:position w:val="0"/>
          <w:sz w:val="24"/>
          <w:shd w:fill="auto" w:val="clear"/>
        </w:rPr>
        <w:t xml:space="preserve">University </w:t>
      </w:r>
      <w:r>
        <w:rPr>
          <w:rFonts w:ascii="Times New Roman" w:hAnsi="Times New Roman" w:cs="Times New Roman" w:eastAsia="Times New Roman"/>
          <w:color w:val="000000"/>
          <w:spacing w:val="0"/>
          <w:position w:val="0"/>
          <w:sz w:val="24"/>
          <w:shd w:fill="auto" w:val="clear"/>
        </w:rPr>
        <w:t xml:space="preserve">of Elche (Spain) and she is currently a PhD student at the Institute of Molecular and Cell Biology (IBMC) of this university, with a PhD contract from VALi+d Programme of Comunidad Valenciana. She has been working since 2013 on the effect of natural polyphenols against obesity in the research group of “Natural Bioactive Compounds" headed by Dr. Vicente Micol.</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object w:dxaOrig="1009" w:dyaOrig="1261">
          <v:rect xmlns:o="urn:schemas-microsoft-com:office:office" xmlns:v="urn:schemas-microsoft-com:vml" id="rectole0000000000" style="width:50.450000pt;height:63.0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right"/>
        <w:rPr>
          <w:rFonts w:ascii="Times New Roman" w:hAnsi="Times New Roman" w:cs="Times New Roman" w:eastAsia="Times New Roman"/>
          <w:color w:val="0000FF"/>
          <w:spacing w:val="0"/>
          <w:position w:val="0"/>
          <w:sz w:val="24"/>
          <w:u w:val="single"/>
          <w:shd w:fill="auto" w:val="clear"/>
        </w:rPr>
      </w:pPr>
      <w:r>
        <w:rPr>
          <w:rFonts w:ascii="Times New Roman" w:hAnsi="Times New Roman" w:cs="Times New Roman" w:eastAsia="Times New Roman"/>
          <w:color w:val="000000"/>
          <w:spacing w:val="0"/>
          <w:position w:val="0"/>
          <w:sz w:val="24"/>
          <w:shd w:fill="auto" w:val="clear"/>
        </w:rPr>
        <w:t xml:space="preserve">Email Id: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maria.olivaresv@umh.es</w:t>
        </w:r>
      </w:hyperlink>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916" w:leader="none"/>
          <w:tab w:val="left" w:pos="1832" w:leader="none"/>
          <w:tab w:val="left" w:pos="2748" w:leader="none"/>
          <w:tab w:val="left" w:pos="3664" w:leader="none"/>
          <w:tab w:val="left" w:pos="437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Any Comments:</w:t>
      </w:r>
    </w:p>
    <w:p>
      <w:pPr>
        <w:spacing w:before="0" w:after="200" w:line="276"/>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u w:val="single"/>
          <w:shd w:fill="auto" w:val="clear"/>
        </w:rPr>
        <w:t xml:space="preserve">Funding</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i/>
          <w:color w:val="auto"/>
          <w:spacing w:val="0"/>
          <w:position w:val="0"/>
          <w:sz w:val="22"/>
          <w:shd w:fill="auto" w:val="clear"/>
        </w:rPr>
        <w:t xml:space="preserve">AGL2015-67995-C3-1-R (MINECO); PROMETEO/2016/006 (Generalitat Valenciana), </w:t>
      </w:r>
      <w:r>
        <w:rPr>
          <w:rFonts w:ascii="Times New Roman" w:hAnsi="Times New Roman" w:cs="Times New Roman" w:eastAsia="Times New Roman"/>
          <w:color w:val="auto"/>
          <w:spacing w:val="0"/>
          <w:position w:val="0"/>
          <w:sz w:val="22"/>
          <w:shd w:fill="FFFFFF" w:val="clear"/>
        </w:rPr>
        <w:t xml:space="preserve">CIBER, Fisiopatología de la Obesidad y la Nutrición, CIBERobn, Instituto de Salud Carlos III (CB12/03/30038), Spain.</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mailto:maria.olivaresv@umh.es" Id="docRId2" Type="http://schemas.openxmlformats.org/officeDocument/2006/relationships/hyperlink" /><Relationship Target="styles.xml" Id="docRId4" Type="http://schemas.openxmlformats.org/officeDocument/2006/relationships/styles" /></Relationships>
</file>