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D3F" w:rsidRDefault="004B1D3F" w:rsidP="00617849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8A5647" w:rsidRDefault="004B1D3F" w:rsidP="008A5647">
      <w:pPr>
        <w:jc w:val="center"/>
        <w:rPr>
          <w:rFonts w:asciiTheme="majorBidi" w:hAnsiTheme="majorBidi" w:cstheme="majorBidi"/>
          <w:bCs/>
          <w:i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1A01CA" w:rsidRPr="00B6613E">
        <w:rPr>
          <w:rStyle w:val="A1"/>
          <w:rFonts w:asciiTheme="majorBidi" w:hAnsiTheme="majorBidi"/>
          <w:color w:val="auto"/>
          <w:sz w:val="24"/>
          <w:szCs w:val="24"/>
        </w:rPr>
        <w:t>Evaluation of the AirPHX Advance Oxidation System in Controlling Healthcare-Associated Infections on Various Surfaces</w:t>
      </w:r>
      <w:r w:rsidR="001A01CA" w:rsidRPr="00B6613E">
        <w:rPr>
          <w:rFonts w:asciiTheme="majorBidi" w:hAnsiTheme="majorBidi" w:cstheme="majorBidi"/>
          <w:b/>
          <w:bCs/>
        </w:rPr>
        <w:br/>
      </w:r>
    </w:p>
    <w:p w:rsidR="001A01CA" w:rsidRPr="001A01CA" w:rsidRDefault="001A01CA" w:rsidP="008A5647">
      <w:pPr>
        <w:jc w:val="center"/>
        <w:rPr>
          <w:rFonts w:ascii="Times New Roman" w:hAnsi="Times New Roman" w:cs="Times New Roman"/>
          <w:i/>
          <w:sz w:val="24"/>
          <w:u w:val="single"/>
          <w:lang w:eastAsia="zh-TW"/>
        </w:rPr>
      </w:pPr>
      <w:r w:rsidRPr="001A01CA">
        <w:rPr>
          <w:rFonts w:asciiTheme="majorBidi" w:hAnsiTheme="majorBidi" w:cstheme="majorBidi"/>
          <w:bCs/>
          <w:i/>
          <w:u w:val="single"/>
        </w:rPr>
        <w:t>Rick Falkenberg, Ph.D., CFS, PCQI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4B1D3F" w:rsidRDefault="004B1D3F" w:rsidP="001A01CA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 xml:space="preserve">1 </w:t>
      </w:r>
      <w:r w:rsidR="001A01CA">
        <w:rPr>
          <w:rFonts w:ascii="Times New Roman" w:hAnsi="Times New Roman" w:cs="Times New Roman"/>
          <w:i/>
          <w:iCs/>
          <w:sz w:val="24"/>
        </w:rPr>
        <w:t>Nestle Nutrition Research and Development</w:t>
      </w:r>
    </w:p>
    <w:p w:rsidR="004B1D3F" w:rsidRDefault="004B1D3F" w:rsidP="004B1D3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 (not more than 300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8A5647" w:rsidP="004B1D3F">
      <w:pPr>
        <w:pStyle w:val="HTMLPreformatted"/>
        <w:jc w:val="both"/>
        <w:rPr>
          <w:rStyle w:val="A6"/>
          <w:rFonts w:asciiTheme="majorBidi" w:hAnsiTheme="majorBidi" w:cstheme="majorBidi"/>
          <w:color w:val="auto"/>
          <w:sz w:val="24"/>
          <w:szCs w:val="24"/>
        </w:rPr>
      </w:pPr>
      <w:r w:rsidRPr="008A5647">
        <w:rPr>
          <w:rStyle w:val="A6"/>
          <w:rFonts w:asciiTheme="majorBidi" w:hAnsiTheme="majorBidi" w:cstheme="majorBidi"/>
          <w:color w:val="auto"/>
          <w:sz w:val="24"/>
          <w:szCs w:val="24"/>
        </w:rPr>
        <w:t xml:space="preserve">The effectiveness of reactive oxygen species (ROS) generating airPHX equipment for reducing bacterial populations of </w:t>
      </w:r>
      <w:r w:rsidRPr="008A5647">
        <w:rPr>
          <w:rStyle w:val="A6"/>
          <w:rFonts w:asciiTheme="majorBidi" w:hAnsiTheme="majorBidi" w:cstheme="majorBidi"/>
          <w:i/>
          <w:iCs/>
          <w:color w:val="auto"/>
          <w:sz w:val="24"/>
          <w:szCs w:val="24"/>
        </w:rPr>
        <w:t>Clostridium difficile</w:t>
      </w:r>
      <w:r w:rsidRPr="008A5647">
        <w:rPr>
          <w:rStyle w:val="A6"/>
          <w:rFonts w:asciiTheme="majorBidi" w:hAnsiTheme="majorBidi" w:cstheme="majorBidi"/>
          <w:color w:val="auto"/>
          <w:sz w:val="24"/>
          <w:szCs w:val="24"/>
        </w:rPr>
        <w:t xml:space="preserve">, Methicillin Resistant </w:t>
      </w:r>
      <w:r w:rsidRPr="008A5647">
        <w:rPr>
          <w:rStyle w:val="A6"/>
          <w:rFonts w:asciiTheme="majorBidi" w:hAnsiTheme="majorBidi" w:cstheme="majorBidi"/>
          <w:i/>
          <w:iCs/>
          <w:color w:val="auto"/>
          <w:sz w:val="24"/>
          <w:szCs w:val="24"/>
        </w:rPr>
        <w:t xml:space="preserve">Staphylococcus aureus </w:t>
      </w:r>
      <w:r w:rsidRPr="008A5647">
        <w:rPr>
          <w:rStyle w:val="A6"/>
          <w:rFonts w:asciiTheme="majorBidi" w:hAnsiTheme="majorBidi" w:cstheme="majorBidi"/>
          <w:color w:val="auto"/>
          <w:sz w:val="24"/>
          <w:szCs w:val="24"/>
        </w:rPr>
        <w:t>(</w:t>
      </w:r>
      <w:r w:rsidRPr="008A5647">
        <w:rPr>
          <w:rStyle w:val="A6"/>
          <w:rFonts w:asciiTheme="majorBidi" w:hAnsiTheme="majorBidi" w:cstheme="majorBidi"/>
          <w:i/>
          <w:iCs/>
          <w:color w:val="auto"/>
          <w:sz w:val="24"/>
          <w:szCs w:val="24"/>
        </w:rPr>
        <w:t>mRSA</w:t>
      </w:r>
      <w:r w:rsidRPr="008A5647">
        <w:rPr>
          <w:rStyle w:val="A6"/>
          <w:rFonts w:asciiTheme="majorBidi" w:hAnsiTheme="majorBidi" w:cstheme="majorBidi"/>
          <w:color w:val="auto"/>
          <w:sz w:val="24"/>
          <w:szCs w:val="24"/>
        </w:rPr>
        <w:t xml:space="preserve">) and </w:t>
      </w:r>
      <w:r w:rsidRPr="008A5647">
        <w:rPr>
          <w:rStyle w:val="A6"/>
          <w:rFonts w:asciiTheme="majorBidi" w:hAnsiTheme="majorBidi" w:cstheme="majorBidi"/>
          <w:i/>
          <w:iCs/>
          <w:color w:val="auto"/>
          <w:sz w:val="24"/>
          <w:szCs w:val="24"/>
        </w:rPr>
        <w:t xml:space="preserve">Pseudomonas aeruginosa </w:t>
      </w:r>
      <w:r w:rsidRPr="008A5647">
        <w:rPr>
          <w:rStyle w:val="A6"/>
          <w:rFonts w:asciiTheme="majorBidi" w:hAnsiTheme="majorBidi" w:cstheme="majorBidi"/>
          <w:color w:val="auto"/>
          <w:sz w:val="24"/>
          <w:szCs w:val="24"/>
        </w:rPr>
        <w:t>on three (3) common contact surfaces; stainless steel (Austenitic 316), plastic (PVC) and linoleum (floor tile) were studied. Antimicrobial resistant pathogens pose an ongoing and increasing challenge to hospitals because they cause healthcare-associated infections (HAIs) during clinical treatment of patients.</w:t>
      </w:r>
    </w:p>
    <w:p w:rsidR="008A5647" w:rsidRPr="008A5647" w:rsidRDefault="008A5647" w:rsidP="004B1D3F">
      <w:pPr>
        <w:pStyle w:val="HTMLPreformatted"/>
        <w:jc w:val="both"/>
        <w:rPr>
          <w:rFonts w:asciiTheme="majorBidi" w:hAnsiTheme="majorBidi" w:cstheme="majorBidi"/>
          <w:color w:val="auto"/>
          <w:sz w:val="24"/>
          <w:szCs w:val="24"/>
        </w:rPr>
      </w:pPr>
    </w:p>
    <w:p w:rsidR="004B1D3F" w:rsidRPr="008A5647" w:rsidRDefault="004B1D3F" w:rsidP="001A01CA">
      <w:pPr>
        <w:pStyle w:val="HTMLPreformatted"/>
        <w:jc w:val="both"/>
        <w:rPr>
          <w:rFonts w:asciiTheme="majorBidi" w:hAnsiTheme="majorBidi" w:cstheme="majorBidi"/>
          <w:i/>
          <w:iCs/>
          <w:color w:val="auto"/>
          <w:sz w:val="24"/>
        </w:rPr>
      </w:pPr>
      <w:r w:rsidRPr="008A5647">
        <w:rPr>
          <w:rFonts w:ascii="Times New Roman" w:hAnsi="Times New Roman" w:cs="Times New Roman"/>
          <w:color w:val="auto"/>
          <w:sz w:val="24"/>
        </w:rPr>
        <w:t>Keywords—</w:t>
      </w:r>
      <w:r w:rsidR="001A01CA" w:rsidRPr="008A5647">
        <w:rPr>
          <w:rFonts w:asciiTheme="majorBidi" w:hAnsiTheme="majorBidi" w:cstheme="majorBidi"/>
          <w:i/>
          <w:color w:val="auto"/>
          <w:sz w:val="24"/>
        </w:rPr>
        <w:t xml:space="preserve">Reactive Oxygen Species, </w:t>
      </w:r>
      <w:r w:rsidR="001A01CA" w:rsidRPr="008A5647">
        <w:rPr>
          <w:rStyle w:val="A6"/>
          <w:rFonts w:asciiTheme="majorBidi" w:hAnsiTheme="majorBidi" w:cstheme="majorBidi"/>
          <w:color w:val="auto"/>
          <w:sz w:val="24"/>
          <w:szCs w:val="24"/>
        </w:rPr>
        <w:t xml:space="preserve">Healthcare-Associated Infections, airPHX Advanced Oxidation Generator, </w:t>
      </w:r>
      <w:r w:rsidR="008A5647" w:rsidRPr="008A5647">
        <w:rPr>
          <w:rStyle w:val="A6"/>
          <w:rFonts w:asciiTheme="majorBidi" w:hAnsiTheme="majorBidi" w:cstheme="majorBidi"/>
          <w:i/>
          <w:iCs/>
          <w:color w:val="auto"/>
          <w:sz w:val="24"/>
          <w:szCs w:val="24"/>
        </w:rPr>
        <w:t>Atmospheric Cold Plasma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Professional Biography (100-150 words)</w:t>
      </w:r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1A01CA" w:rsidRDefault="008A5647" w:rsidP="001A01C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Rick Falkenberg</w:t>
      </w:r>
      <w:r w:rsidR="004B1D3F">
        <w:rPr>
          <w:rFonts w:ascii="Times New Roman" w:hAnsi="Times New Roman" w:cs="Times New Roman"/>
          <w:iCs/>
          <w:sz w:val="24"/>
        </w:rPr>
        <w:t xml:space="preserve"> has complete</w:t>
      </w:r>
      <w:r w:rsidR="001A01CA">
        <w:rPr>
          <w:rFonts w:ascii="Times New Roman" w:hAnsi="Times New Roman" w:cs="Times New Roman"/>
          <w:iCs/>
          <w:sz w:val="24"/>
        </w:rPr>
        <w:t xml:space="preserve">d his PhD from </w:t>
      </w:r>
      <w:r w:rsidR="004B1D3F">
        <w:rPr>
          <w:rFonts w:ascii="Times New Roman" w:hAnsi="Times New Roman" w:cs="Times New Roman"/>
          <w:iCs/>
          <w:sz w:val="24"/>
        </w:rPr>
        <w:t>University</w:t>
      </w:r>
      <w:r w:rsidR="001A01CA">
        <w:rPr>
          <w:rFonts w:ascii="Times New Roman" w:hAnsi="Times New Roman" w:cs="Times New Roman"/>
          <w:iCs/>
          <w:sz w:val="24"/>
        </w:rPr>
        <w:t xml:space="preserve"> California San Diego</w:t>
      </w:r>
      <w:r w:rsidR="004B1D3F">
        <w:rPr>
          <w:rFonts w:ascii="Times New Roman" w:hAnsi="Times New Roman" w:cs="Times New Roman"/>
          <w:iCs/>
          <w:sz w:val="24"/>
        </w:rPr>
        <w:t xml:space="preserve">. </w:t>
      </w:r>
      <w:r w:rsidR="001A01CA" w:rsidRPr="000412C1">
        <w:rPr>
          <w:rFonts w:asciiTheme="majorBidi" w:hAnsiTheme="majorBidi" w:cstheme="majorBidi"/>
          <w:sz w:val="24"/>
          <w:szCs w:val="24"/>
          <w:shd w:val="clear" w:color="auto" w:fill="FFFFFF"/>
        </w:rPr>
        <w:t>Senior Principal Scientist at Nestle Nutrition R&amp;D in Fremont Michigan</w:t>
      </w:r>
      <w:r w:rsidR="0021740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USA</w:t>
      </w:r>
      <w:r w:rsidR="001A01CA" w:rsidRPr="000412C1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1A01CA">
        <w:rPr>
          <w:rFonts w:asciiTheme="majorBidi" w:eastAsia="Times New Roman" w:hAnsiTheme="majorBidi" w:cstheme="majorBidi"/>
          <w:sz w:val="24"/>
          <w:szCs w:val="24"/>
          <w:shd w:val="clear" w:color="auto" w:fill="FFFFFF"/>
        </w:rPr>
        <w:t xml:space="preserve"> </w:t>
      </w:r>
      <w:r w:rsidR="001A01CA" w:rsidRPr="003A2FB9">
        <w:rPr>
          <w:rFonts w:ascii="Times New Roman" w:eastAsiaTheme="minorHAnsi" w:hAnsi="Times New Roman" w:cs="Times New Roman"/>
          <w:sz w:val="24"/>
          <w:szCs w:val="24"/>
        </w:rPr>
        <w:t>His expertise is diverse with food microbiology, pasteurization/sterilization process validation, the ability to conduct TDT, Temperature Distribution, Heat Penetration testing, electronic controls, record keeping, and process bio-valid</w:t>
      </w:r>
      <w:r w:rsidR="0021740B">
        <w:rPr>
          <w:rFonts w:ascii="Times New Roman" w:eastAsiaTheme="minorHAnsi" w:hAnsi="Times New Roman" w:cs="Times New Roman"/>
          <w:sz w:val="24"/>
          <w:szCs w:val="24"/>
        </w:rPr>
        <w:t>ation for various products including low moisture foods.</w:t>
      </w:r>
    </w:p>
    <w:p w:rsidR="001A01CA" w:rsidRDefault="001A01CA" w:rsidP="001A01CA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4B1D3F" w:rsidRDefault="0021740B" w:rsidP="0021740B">
      <w:pPr>
        <w:pStyle w:val="Heading4"/>
        <w:shd w:val="clear" w:color="auto" w:fill="F3F6F8"/>
        <w:spacing w:before="0" w:line="300" w:lineRule="atLeast"/>
        <w:jc w:val="both"/>
        <w:textAlignment w:val="baseline"/>
        <w:rPr>
          <w:rFonts w:asciiTheme="majorBidi" w:hAnsiTheme="majorBidi"/>
          <w:color w:val="auto"/>
          <w:sz w:val="24"/>
          <w:szCs w:val="24"/>
          <w:shd w:val="clear" w:color="auto" w:fill="F3F6F8"/>
        </w:rPr>
      </w:pPr>
      <w:r w:rsidRPr="0021740B">
        <w:rPr>
          <w:rFonts w:asciiTheme="majorBidi" w:hAnsiTheme="majorBidi"/>
          <w:iCs w:val="0"/>
          <w:color w:val="auto"/>
          <w:sz w:val="24"/>
          <w:szCs w:val="24"/>
        </w:rPr>
        <w:t xml:space="preserve">He has published several </w:t>
      </w:r>
      <w:r w:rsidR="004B1D3F" w:rsidRPr="0021740B">
        <w:rPr>
          <w:rFonts w:asciiTheme="majorBidi" w:hAnsiTheme="majorBidi"/>
          <w:color w:val="auto"/>
          <w:sz w:val="24"/>
          <w:szCs w:val="24"/>
        </w:rPr>
        <w:t>papers in reputed journals and has been serving as an editorial board member of repute.</w:t>
      </w:r>
      <w:r w:rsidRPr="0021740B">
        <w:rPr>
          <w:rFonts w:asciiTheme="majorBidi" w:hAnsiTheme="majorBidi"/>
          <w:iCs w:val="0"/>
          <w:color w:val="auto"/>
          <w:sz w:val="24"/>
          <w:szCs w:val="24"/>
        </w:rPr>
        <w:t xml:space="preserve"> He has seven (7) patents, multiple awards, </w:t>
      </w:r>
      <w:r w:rsidRPr="0021740B">
        <w:rPr>
          <w:rFonts w:asciiTheme="majorBidi" w:eastAsia="Times New Roman" w:hAnsiTheme="majorBidi"/>
          <w:i w:val="0"/>
          <w:iCs w:val="0"/>
          <w:color w:val="auto"/>
          <w:sz w:val="24"/>
          <w:szCs w:val="24"/>
          <w:lang w:val="en-US" w:eastAsia="zh-CN"/>
        </w:rPr>
        <w:t xml:space="preserve">Fellow of the Royal Society of Health (1992), ΦTΣ - Phi Tau Sigma, </w:t>
      </w:r>
      <w:r w:rsidRPr="0021740B">
        <w:rPr>
          <w:rFonts w:asciiTheme="majorBidi" w:hAnsiTheme="majorBidi"/>
          <w:color w:val="auto"/>
          <w:sz w:val="24"/>
          <w:szCs w:val="24"/>
          <w:shd w:val="clear" w:color="auto" w:fill="F3F6F8"/>
        </w:rPr>
        <w:t>The Honour Society of Food Science and Technology (2017)</w:t>
      </w:r>
    </w:p>
    <w:p w:rsidR="008A5647" w:rsidRDefault="008A5647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4B1D3F" w:rsidRDefault="0021740B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21740B">
        <w:rPr>
          <w:noProof/>
          <w:lang w:val="en-US" w:eastAsia="zh-CN"/>
        </w:rPr>
        <w:drawing>
          <wp:inline distT="0" distB="0" distL="0" distR="0">
            <wp:extent cx="1021080" cy="906780"/>
            <wp:effectExtent l="0" t="0" r="7620" b="7620"/>
            <wp:docPr id="2" name="Picture 2" descr="E:\Pictures - All\General\rlf_jp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Pictures - All\General\rlf_jpg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1D3F">
        <w:rPr>
          <w:rFonts w:ascii="Times New Roman" w:hAnsi="Times New Roman" w:cs="Times New Roman"/>
          <w:b/>
          <w:iCs/>
          <w:sz w:val="24"/>
        </w:rPr>
        <w:br/>
      </w:r>
    </w:p>
    <w:p w:rsidR="004B1D3F" w:rsidRDefault="0021740B" w:rsidP="004B1D3F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Dr. Rick Falkenberg</w:t>
      </w:r>
      <w:bookmarkStart w:id="0" w:name="_GoBack"/>
      <w:bookmarkEnd w:id="0"/>
    </w:p>
    <w:p w:rsidR="004B1D3F" w:rsidRDefault="004B1D3F" w:rsidP="004B1D3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21740B" w:rsidRDefault="004B1D3F" w:rsidP="004B1D3F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Email Id:</w:t>
      </w:r>
      <w:r w:rsidR="0021740B">
        <w:rPr>
          <w:rFonts w:ascii="Times New Roman" w:hAnsi="Times New Roman" w:cs="Times New Roman"/>
          <w:iCs/>
          <w:sz w:val="24"/>
        </w:rPr>
        <w:t xml:space="preserve"> </w:t>
      </w:r>
      <w:hyperlink r:id="rId5" w:history="1">
        <w:r w:rsidR="0021740B" w:rsidRPr="00F62624">
          <w:rPr>
            <w:rStyle w:val="Hyperlink"/>
            <w:rFonts w:ascii="Times New Roman" w:hAnsi="Times New Roman" w:cs="Times New Roman"/>
            <w:iCs/>
            <w:sz w:val="24"/>
          </w:rPr>
          <w:t>Ricky.Falkenberg@rd.nestle.com</w:t>
        </w:r>
      </w:hyperlink>
    </w:p>
    <w:p w:rsidR="00617849" w:rsidRDefault="00617849"/>
    <w:sectPr w:rsidR="00617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3F"/>
    <w:rsid w:val="00047BF7"/>
    <w:rsid w:val="00134B9A"/>
    <w:rsid w:val="001A01CA"/>
    <w:rsid w:val="0021740B"/>
    <w:rsid w:val="004B1D3F"/>
    <w:rsid w:val="00617849"/>
    <w:rsid w:val="008A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78D9A88-E094-43CD-B0EF-371250FD8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3F"/>
    <w:rPr>
      <w:lang w:val="en-I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174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nhideWhenUsed/>
    <w:rsid w:val="004B1D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4B1D3F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1D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D3F"/>
    <w:rPr>
      <w:rFonts w:ascii="Tahoma" w:hAnsi="Tahoma" w:cs="Tahoma"/>
      <w:sz w:val="16"/>
      <w:szCs w:val="16"/>
      <w:lang w:val="en-IN"/>
    </w:rPr>
  </w:style>
  <w:style w:type="character" w:customStyle="1" w:styleId="A1">
    <w:name w:val="A1"/>
    <w:uiPriority w:val="99"/>
    <w:rsid w:val="001A01CA"/>
    <w:rPr>
      <w:rFonts w:cs="Cambria"/>
      <w:b/>
      <w:bCs/>
      <w:color w:val="0E5F9D"/>
      <w:sz w:val="40"/>
      <w:szCs w:val="40"/>
    </w:rPr>
  </w:style>
  <w:style w:type="character" w:customStyle="1" w:styleId="A6">
    <w:name w:val="A6"/>
    <w:uiPriority w:val="99"/>
    <w:rsid w:val="001A01CA"/>
    <w:rPr>
      <w:rFonts w:cs="Cambria"/>
      <w:color w:val="404041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21740B"/>
    <w:rPr>
      <w:rFonts w:asciiTheme="majorHAnsi" w:eastAsiaTheme="majorEastAsia" w:hAnsiTheme="majorHAnsi" w:cstheme="majorBidi"/>
      <w:i/>
      <w:iCs/>
      <w:color w:val="365F91" w:themeColor="accent1" w:themeShade="BF"/>
      <w:lang w:val="en-IN"/>
    </w:rPr>
  </w:style>
  <w:style w:type="character" w:styleId="Hyperlink">
    <w:name w:val="Hyperlink"/>
    <w:basedOn w:val="DefaultParagraphFont"/>
    <w:uiPriority w:val="99"/>
    <w:unhideWhenUsed/>
    <w:rsid w:val="002174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9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icky.Falkenberg@rd.nestle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padmaratinam</dc:creator>
  <cp:keywords/>
  <dc:description/>
  <cp:lastModifiedBy>Falkenberg,Ricky,FREMONT,NUTIRD Fremont Engineering</cp:lastModifiedBy>
  <cp:revision>1</cp:revision>
  <dcterms:created xsi:type="dcterms:W3CDTF">2017-07-10T08:15:00Z</dcterms:created>
  <dcterms:modified xsi:type="dcterms:W3CDTF">2017-12-12T12:15:00Z</dcterms:modified>
</cp:coreProperties>
</file>