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5487" w:rsidRPr="00B6613E" w:rsidRDefault="00695487" w:rsidP="00B6613E">
      <w:pPr>
        <w:pStyle w:val="Default"/>
        <w:ind w:left="630" w:hanging="630"/>
        <w:rPr>
          <w:rFonts w:asciiTheme="majorBidi" w:hAnsiTheme="majorBidi" w:cstheme="majorBidi"/>
          <w:sz w:val="22"/>
          <w:szCs w:val="22"/>
        </w:rPr>
      </w:pPr>
      <w:r w:rsidRPr="00B6613E">
        <w:rPr>
          <w:rFonts w:asciiTheme="majorBidi" w:hAnsiTheme="majorBidi" w:cstheme="majorBidi"/>
          <w:b/>
        </w:rPr>
        <w:t xml:space="preserve">Title: </w:t>
      </w:r>
      <w:r w:rsidR="00B6613E" w:rsidRPr="00B6613E">
        <w:rPr>
          <w:rFonts w:asciiTheme="majorBidi" w:hAnsiTheme="majorBidi" w:cstheme="majorBidi"/>
          <w:b/>
        </w:rPr>
        <w:t xml:space="preserve"> </w:t>
      </w:r>
      <w:r w:rsidR="00B6613E" w:rsidRPr="00B6613E">
        <w:rPr>
          <w:rStyle w:val="A1"/>
          <w:rFonts w:asciiTheme="majorBidi" w:hAnsiTheme="majorBidi" w:cstheme="majorBidi"/>
          <w:color w:val="auto"/>
          <w:sz w:val="24"/>
          <w:szCs w:val="24"/>
        </w:rPr>
        <w:t>Evaluation of the AirPHX Advance Oxidation System in Controlling Healthcare-Associated Infections on Various Surfaces</w:t>
      </w:r>
      <w:r w:rsidRPr="00B6613E">
        <w:rPr>
          <w:rFonts w:asciiTheme="majorBidi" w:hAnsiTheme="majorBidi" w:cstheme="majorBidi"/>
          <w:b/>
          <w:bCs/>
        </w:rPr>
        <w:br/>
      </w:r>
      <w:r w:rsidRPr="00B6613E">
        <w:rPr>
          <w:rFonts w:asciiTheme="majorBidi" w:hAnsiTheme="majorBidi" w:cstheme="majorBidi"/>
          <w:b/>
          <w:bCs/>
          <w:i/>
        </w:rPr>
        <w:br/>
        <w:t xml:space="preserve">                                             </w:t>
      </w:r>
      <w:r w:rsidR="00B6613E" w:rsidRPr="00B6613E">
        <w:rPr>
          <w:rFonts w:asciiTheme="majorBidi" w:hAnsiTheme="majorBidi" w:cstheme="majorBidi"/>
          <w:bCs/>
          <w:i/>
        </w:rPr>
        <w:t>Rick Falkenberg, Nestle Nutrition, USA</w:t>
      </w:r>
    </w:p>
    <w:p w:rsidR="00B6613E" w:rsidRDefault="00695487" w:rsidP="00B6613E">
      <w:pPr>
        <w:pStyle w:val="p"/>
        <w:shd w:val="clear" w:color="auto" w:fill="FFFFFF"/>
        <w:spacing w:before="0" w:beforeAutospacing="0" w:after="0" w:afterAutospacing="0" w:line="330" w:lineRule="atLeast"/>
        <w:rPr>
          <w:b/>
          <w:color w:val="000000"/>
        </w:rPr>
      </w:pPr>
      <w:r w:rsidRPr="00695487">
        <w:rPr>
          <w:b/>
          <w:color w:val="000000"/>
        </w:rPr>
        <w:t>Abstract</w:t>
      </w:r>
    </w:p>
    <w:p w:rsidR="000412C1" w:rsidRDefault="000412C1" w:rsidP="00B6613E">
      <w:pPr>
        <w:pStyle w:val="p"/>
        <w:shd w:val="clear" w:color="auto" w:fill="FFFFFF"/>
        <w:spacing w:before="0" w:beforeAutospacing="0" w:after="0" w:afterAutospacing="0" w:line="330" w:lineRule="atLeast"/>
        <w:rPr>
          <w:b/>
          <w:color w:val="000000"/>
        </w:rPr>
      </w:pPr>
    </w:p>
    <w:p w:rsidR="00B6613E" w:rsidRDefault="00B6613E" w:rsidP="00B6613E">
      <w:pPr>
        <w:pStyle w:val="p"/>
        <w:shd w:val="clear" w:color="auto" w:fill="FFFFFF"/>
        <w:spacing w:before="0" w:beforeAutospacing="0" w:after="0" w:afterAutospacing="0" w:line="330" w:lineRule="atLeast"/>
        <w:jc w:val="both"/>
        <w:rPr>
          <w:rStyle w:val="A6"/>
          <w:sz w:val="24"/>
          <w:szCs w:val="24"/>
        </w:rPr>
      </w:pPr>
      <w:r w:rsidRPr="00B6613E">
        <w:rPr>
          <w:rStyle w:val="A6"/>
          <w:sz w:val="24"/>
          <w:szCs w:val="24"/>
        </w:rPr>
        <w:t xml:space="preserve">The effectiveness of reactive oxygen species (ROS) generating airPHX equipment for reducing bacterial populations of </w:t>
      </w:r>
      <w:r w:rsidRPr="00B6613E">
        <w:rPr>
          <w:rStyle w:val="A6"/>
          <w:i/>
          <w:iCs/>
          <w:sz w:val="24"/>
          <w:szCs w:val="24"/>
        </w:rPr>
        <w:t>Clostridium difficile</w:t>
      </w:r>
      <w:r w:rsidRPr="00B6613E">
        <w:rPr>
          <w:rStyle w:val="A6"/>
          <w:sz w:val="24"/>
          <w:szCs w:val="24"/>
        </w:rPr>
        <w:t xml:space="preserve">, Methicillin Resistant </w:t>
      </w:r>
      <w:r w:rsidRPr="00B6613E">
        <w:rPr>
          <w:rStyle w:val="A6"/>
          <w:i/>
          <w:iCs/>
          <w:sz w:val="24"/>
          <w:szCs w:val="24"/>
        </w:rPr>
        <w:t xml:space="preserve">Staphylococcus aureus </w:t>
      </w:r>
      <w:r w:rsidRPr="00B6613E">
        <w:rPr>
          <w:rStyle w:val="A6"/>
          <w:sz w:val="24"/>
          <w:szCs w:val="24"/>
        </w:rPr>
        <w:t>(</w:t>
      </w:r>
      <w:r w:rsidRPr="00B6613E">
        <w:rPr>
          <w:rStyle w:val="A6"/>
          <w:i/>
          <w:iCs/>
          <w:sz w:val="24"/>
          <w:szCs w:val="24"/>
        </w:rPr>
        <w:t>mRSA</w:t>
      </w:r>
      <w:r w:rsidRPr="00B6613E">
        <w:rPr>
          <w:rStyle w:val="A6"/>
          <w:sz w:val="24"/>
          <w:szCs w:val="24"/>
        </w:rPr>
        <w:t xml:space="preserve">) and </w:t>
      </w:r>
      <w:r w:rsidRPr="00B6613E">
        <w:rPr>
          <w:rStyle w:val="A6"/>
          <w:i/>
          <w:iCs/>
          <w:sz w:val="24"/>
          <w:szCs w:val="24"/>
        </w:rPr>
        <w:t xml:space="preserve">Pseudomonas aeruginosa </w:t>
      </w:r>
      <w:r w:rsidRPr="00B6613E">
        <w:rPr>
          <w:rStyle w:val="A6"/>
          <w:sz w:val="24"/>
          <w:szCs w:val="24"/>
        </w:rPr>
        <w:t xml:space="preserve">on three (3) common contact surfaces; stainless steel (Austenitic 316), plastic (PVC) and linoleum (floor tile) were studied. Antimicrobial resistant pathogens pose an ongoing and increasing challenge to hospitals because they cause healthcare-associated infections (HAIs) during clinical treatment of patients. Coupons of stainless steel, plastic and linoleum were inoculated with each organism placed inside an experimental chamber were continuously treated with ROS for eight different hour increments from an airPHX advanced oxidation generator. ROS levels were continuously monitored prior to removing coupons for microbiological testing. Control coupon were similarly placed in the chamber and held at environmental conditions to determine natural decay of microbial populations through time. Stainless steel coupon results after 0.5 h of ROS treatment </w:t>
      </w:r>
      <w:r w:rsidRPr="00B6613E">
        <w:rPr>
          <w:rStyle w:val="A6"/>
          <w:i/>
          <w:iCs/>
          <w:sz w:val="24"/>
          <w:szCs w:val="24"/>
        </w:rPr>
        <w:t xml:space="preserve">Clostridium difficile </w:t>
      </w:r>
      <w:r w:rsidRPr="00B6613E">
        <w:rPr>
          <w:rStyle w:val="A6"/>
          <w:sz w:val="24"/>
          <w:szCs w:val="24"/>
        </w:rPr>
        <w:t xml:space="preserve">Methicillin Resistant </w:t>
      </w:r>
      <w:r w:rsidRPr="00B6613E">
        <w:rPr>
          <w:rStyle w:val="A6"/>
          <w:i/>
          <w:iCs/>
          <w:sz w:val="24"/>
          <w:szCs w:val="24"/>
        </w:rPr>
        <w:t xml:space="preserve">Staphylococcus aureus </w:t>
      </w:r>
      <w:r w:rsidRPr="00B6613E">
        <w:rPr>
          <w:rStyle w:val="A6"/>
          <w:sz w:val="24"/>
          <w:szCs w:val="24"/>
        </w:rPr>
        <w:t>(</w:t>
      </w:r>
      <w:r w:rsidRPr="00B6613E">
        <w:rPr>
          <w:rStyle w:val="A6"/>
          <w:i/>
          <w:iCs/>
          <w:sz w:val="24"/>
          <w:szCs w:val="24"/>
        </w:rPr>
        <w:t>mRSA</w:t>
      </w:r>
      <w:r w:rsidRPr="00B6613E">
        <w:rPr>
          <w:rStyle w:val="A6"/>
          <w:sz w:val="24"/>
          <w:szCs w:val="24"/>
        </w:rPr>
        <w:t xml:space="preserve">) and </w:t>
      </w:r>
      <w:r w:rsidRPr="00B6613E">
        <w:rPr>
          <w:rStyle w:val="A6"/>
          <w:i/>
          <w:iCs/>
          <w:sz w:val="24"/>
          <w:szCs w:val="24"/>
        </w:rPr>
        <w:t xml:space="preserve">Pseudomonas aeruginosa </w:t>
      </w:r>
      <w:r w:rsidRPr="00B6613E">
        <w:rPr>
          <w:rStyle w:val="A6"/>
          <w:sz w:val="24"/>
          <w:szCs w:val="24"/>
        </w:rPr>
        <w:t>saw a 4.21-log, 4.42-log and 4.26-log destruction respectively. After 12 h exposure these same organisms yielded a 6.87-log, 7.17-log and 7.71-log reduction, respectively. The other contact surfaces, plastic and linoleum displayed similar log reduction. These findings reveal that ROS treatment using the airPHX unit significantly reduces these three HAI’s on common health care contact materials to &gt; 4.2-log destruction after a 0.5 h exposure.</w:t>
      </w:r>
    </w:p>
    <w:p w:rsidR="00B6613E" w:rsidRDefault="00B6613E" w:rsidP="00B6613E">
      <w:pPr>
        <w:pStyle w:val="p"/>
        <w:shd w:val="clear" w:color="auto" w:fill="FFFFFF"/>
        <w:spacing w:before="0" w:beforeAutospacing="0" w:after="0" w:afterAutospacing="0" w:line="330" w:lineRule="atLeast"/>
        <w:jc w:val="both"/>
        <w:rPr>
          <w:rFonts w:ascii="Times" w:hAnsi="Times"/>
          <w:b/>
        </w:rPr>
      </w:pPr>
    </w:p>
    <w:p w:rsidR="003A2FB9" w:rsidRDefault="00695487" w:rsidP="003A2FB9">
      <w:pPr>
        <w:spacing w:before="100" w:beforeAutospacing="1" w:after="100" w:afterAutospacing="1"/>
        <w:jc w:val="both"/>
        <w:rPr>
          <w:rFonts w:ascii="Times" w:hAnsi="Times"/>
          <w:b/>
          <w:sz w:val="24"/>
          <w:szCs w:val="24"/>
        </w:rPr>
      </w:pPr>
      <w:r w:rsidRPr="00695487">
        <w:rPr>
          <w:rFonts w:ascii="Times" w:hAnsi="Times"/>
          <w:b/>
          <w:sz w:val="24"/>
          <w:szCs w:val="24"/>
        </w:rPr>
        <w:t xml:space="preserve">Biography: </w:t>
      </w:r>
    </w:p>
    <w:p w:rsidR="0048473A" w:rsidRPr="00CA1AAD" w:rsidRDefault="00B6613E" w:rsidP="00CA1AAD">
      <w:pPr>
        <w:spacing w:before="100" w:beforeAutospacing="1" w:after="100" w:afterAutospacing="1"/>
        <w:jc w:val="both"/>
        <w:rPr>
          <w:rFonts w:ascii="Times" w:hAnsi="Times"/>
          <w:b/>
          <w:sz w:val="24"/>
          <w:szCs w:val="24"/>
        </w:rPr>
      </w:pPr>
      <w:r w:rsidRPr="000412C1">
        <w:rPr>
          <w:rFonts w:asciiTheme="majorBidi" w:hAnsiTheme="majorBidi" w:cstheme="majorBidi"/>
          <w:bCs/>
          <w:i/>
          <w:sz w:val="24"/>
          <w:szCs w:val="24"/>
        </w:rPr>
        <w:t>Rick Falkenberg, Ph.D., CFS</w:t>
      </w:r>
      <w:r w:rsidR="00695487" w:rsidRPr="000412C1">
        <w:rPr>
          <w:rFonts w:asciiTheme="majorBidi" w:eastAsia="Times New Roman" w:hAnsiTheme="majorBidi" w:cstheme="majorBidi"/>
          <w:i/>
          <w:iCs/>
          <w:color w:val="000000"/>
          <w:sz w:val="24"/>
          <w:szCs w:val="24"/>
        </w:rPr>
        <w:t> </w:t>
      </w:r>
      <w:r w:rsidRPr="000412C1">
        <w:rPr>
          <w:rFonts w:asciiTheme="majorBidi" w:hAnsiTheme="majorBidi" w:cstheme="majorBidi"/>
          <w:color w:val="000000"/>
          <w:sz w:val="24"/>
          <w:szCs w:val="24"/>
          <w:shd w:val="clear" w:color="auto" w:fill="FFFFFF"/>
        </w:rPr>
        <w:t>is a Senior Principal Scientist at Nestle Nutrition R&amp;D in Fremont Michigan.</w:t>
      </w:r>
      <w:r w:rsidR="003A2FB9">
        <w:rPr>
          <w:rFonts w:asciiTheme="majorBidi" w:eastAsia="Times New Roman" w:hAnsiTheme="majorBidi" w:cstheme="majorBidi"/>
          <w:color w:val="000000"/>
          <w:sz w:val="24"/>
          <w:szCs w:val="24"/>
          <w:shd w:val="clear" w:color="auto" w:fill="FFFFFF"/>
        </w:rPr>
        <w:t xml:space="preserve"> </w:t>
      </w:r>
      <w:r w:rsidR="003A2FB9" w:rsidRPr="003A2FB9">
        <w:rPr>
          <w:rFonts w:ascii="Times New Roman" w:eastAsiaTheme="minorHAnsi" w:hAnsi="Times New Roman" w:cs="Times New Roman"/>
          <w:sz w:val="24"/>
          <w:szCs w:val="24"/>
        </w:rPr>
        <w:t>His</w:t>
      </w:r>
      <w:r w:rsidR="003A2FB9" w:rsidRPr="003A2FB9">
        <w:rPr>
          <w:rFonts w:ascii="Times New Roman" w:eastAsiaTheme="minorHAnsi" w:hAnsi="Times New Roman" w:cs="Times New Roman"/>
          <w:sz w:val="24"/>
          <w:szCs w:val="24"/>
        </w:rPr>
        <w:t xml:space="preserve"> expertise is diverse with food microbiology, pasteurization/sterilization process validation, the ability to conduct TDT, Temperature Distribution, Heat Penetration testing, electronic controls, record keeping, and process bio-validation for various food products. As well as preparation of refrigerated and shelf-stable products in a variety of packaging, including metal, glass, plastic, and flexible laminates. </w:t>
      </w:r>
      <w:r w:rsidR="00695487" w:rsidRPr="000412C1">
        <w:rPr>
          <w:rFonts w:asciiTheme="majorBidi" w:eastAsia="Times New Roman" w:hAnsiTheme="majorBidi" w:cstheme="majorBidi"/>
          <w:color w:val="000000"/>
          <w:sz w:val="24"/>
          <w:szCs w:val="24"/>
          <w:shd w:val="clear" w:color="auto" w:fill="FFFFFF"/>
        </w:rPr>
        <w:t>He received a B.</w:t>
      </w:r>
      <w:r w:rsidRPr="000412C1">
        <w:rPr>
          <w:rFonts w:asciiTheme="majorBidi" w:hAnsiTheme="majorBidi" w:cstheme="majorBidi"/>
          <w:color w:val="000000"/>
          <w:sz w:val="24"/>
          <w:szCs w:val="24"/>
          <w:shd w:val="clear" w:color="auto" w:fill="FFFFFF"/>
        </w:rPr>
        <w:t>S. from Point Loma Nazarene University in 1976</w:t>
      </w:r>
      <w:r w:rsidR="003A2FB9">
        <w:rPr>
          <w:rFonts w:asciiTheme="majorBidi" w:hAnsiTheme="majorBidi" w:cstheme="majorBidi"/>
          <w:color w:val="000000"/>
          <w:sz w:val="24"/>
          <w:szCs w:val="24"/>
          <w:shd w:val="clear" w:color="auto" w:fill="FFFFFF"/>
        </w:rPr>
        <w:t>, and a</w:t>
      </w:r>
      <w:r w:rsidR="000412C1" w:rsidRPr="000412C1">
        <w:rPr>
          <w:rFonts w:asciiTheme="majorBidi" w:hAnsiTheme="majorBidi" w:cstheme="majorBidi"/>
          <w:color w:val="000000"/>
          <w:sz w:val="24"/>
          <w:szCs w:val="24"/>
          <w:shd w:val="clear" w:color="auto" w:fill="FFFFFF"/>
        </w:rPr>
        <w:t xml:space="preserve"> MBA</w:t>
      </w:r>
      <w:r w:rsidR="003A2FB9">
        <w:rPr>
          <w:rFonts w:asciiTheme="majorBidi" w:eastAsia="Times New Roman" w:hAnsiTheme="majorBidi" w:cstheme="majorBidi"/>
          <w:color w:val="000000"/>
          <w:sz w:val="24"/>
          <w:szCs w:val="24"/>
          <w:shd w:val="clear" w:color="auto" w:fill="FFFFFF"/>
        </w:rPr>
        <w:t xml:space="preserve"> </w:t>
      </w:r>
      <w:r w:rsidR="00695487" w:rsidRPr="000412C1">
        <w:rPr>
          <w:rFonts w:asciiTheme="majorBidi" w:eastAsia="Times New Roman" w:hAnsiTheme="majorBidi" w:cstheme="majorBidi"/>
          <w:color w:val="000000"/>
          <w:sz w:val="24"/>
          <w:szCs w:val="24"/>
          <w:shd w:val="clear" w:color="auto" w:fill="FFFFFF"/>
        </w:rPr>
        <w:t xml:space="preserve">from the </w:t>
      </w:r>
      <w:r w:rsidR="000412C1" w:rsidRPr="000412C1">
        <w:rPr>
          <w:rFonts w:asciiTheme="majorBidi" w:hAnsiTheme="majorBidi" w:cstheme="majorBidi"/>
          <w:color w:val="000000"/>
          <w:sz w:val="24"/>
          <w:szCs w:val="24"/>
          <w:shd w:val="clear" w:color="auto" w:fill="FFFFFF"/>
        </w:rPr>
        <w:t xml:space="preserve">Golden </w:t>
      </w:r>
      <w:r w:rsidR="00695487" w:rsidRPr="000412C1">
        <w:rPr>
          <w:rFonts w:asciiTheme="majorBidi" w:eastAsia="Times New Roman" w:hAnsiTheme="majorBidi" w:cstheme="majorBidi"/>
          <w:color w:val="000000"/>
          <w:sz w:val="24"/>
          <w:szCs w:val="24"/>
          <w:shd w:val="clear" w:color="auto" w:fill="FFFFFF"/>
        </w:rPr>
        <w:t>State U</w:t>
      </w:r>
      <w:r w:rsidR="000412C1" w:rsidRPr="000412C1">
        <w:rPr>
          <w:rFonts w:asciiTheme="majorBidi" w:hAnsiTheme="majorBidi" w:cstheme="majorBidi"/>
          <w:color w:val="000000"/>
          <w:sz w:val="24"/>
          <w:szCs w:val="24"/>
          <w:shd w:val="clear" w:color="auto" w:fill="FFFFFF"/>
        </w:rPr>
        <w:t>niversity, California</w:t>
      </w:r>
      <w:r w:rsidR="00695487" w:rsidRPr="000412C1">
        <w:rPr>
          <w:rFonts w:asciiTheme="majorBidi" w:eastAsia="Times New Roman" w:hAnsiTheme="majorBidi" w:cstheme="majorBidi"/>
          <w:color w:val="000000"/>
          <w:sz w:val="24"/>
          <w:szCs w:val="24"/>
          <w:shd w:val="clear" w:color="auto" w:fill="FFFFFF"/>
        </w:rPr>
        <w:t>. He receiv</w:t>
      </w:r>
      <w:r w:rsidRPr="000412C1">
        <w:rPr>
          <w:rFonts w:asciiTheme="majorBidi" w:hAnsiTheme="majorBidi" w:cstheme="majorBidi"/>
          <w:color w:val="000000"/>
          <w:sz w:val="24"/>
          <w:szCs w:val="24"/>
          <w:shd w:val="clear" w:color="auto" w:fill="FFFFFF"/>
        </w:rPr>
        <w:t>ed his Ph.D. in Microbiology and Immunology</w:t>
      </w:r>
      <w:r w:rsidR="00695487" w:rsidRPr="000412C1">
        <w:rPr>
          <w:rFonts w:asciiTheme="majorBidi" w:eastAsia="Times New Roman" w:hAnsiTheme="majorBidi" w:cstheme="majorBidi"/>
          <w:color w:val="000000"/>
          <w:sz w:val="24"/>
          <w:szCs w:val="24"/>
          <w:shd w:val="clear" w:color="auto" w:fill="FFFFFF"/>
        </w:rPr>
        <w:t xml:space="preserve"> </w:t>
      </w:r>
      <w:r w:rsidRPr="000412C1">
        <w:rPr>
          <w:rFonts w:asciiTheme="majorBidi" w:hAnsiTheme="majorBidi" w:cstheme="majorBidi"/>
          <w:color w:val="000000"/>
          <w:sz w:val="24"/>
          <w:szCs w:val="24"/>
          <w:shd w:val="clear" w:color="auto" w:fill="FFFFFF"/>
        </w:rPr>
        <w:t>from the University of California, San Diego</w:t>
      </w:r>
      <w:r w:rsidR="000412C1" w:rsidRPr="000412C1">
        <w:rPr>
          <w:rFonts w:asciiTheme="majorBidi" w:hAnsiTheme="majorBidi" w:cstheme="majorBidi"/>
          <w:color w:val="000000"/>
          <w:sz w:val="24"/>
          <w:szCs w:val="24"/>
          <w:shd w:val="clear" w:color="auto" w:fill="FFFFFF"/>
        </w:rPr>
        <w:t xml:space="preserve"> in 1984.</w:t>
      </w:r>
      <w:r w:rsidR="000412C1" w:rsidRPr="000412C1">
        <w:rPr>
          <w:rFonts w:asciiTheme="majorBidi" w:eastAsia="Times New Roman" w:hAnsiTheme="majorBidi" w:cstheme="majorBidi"/>
          <w:color w:val="000000"/>
          <w:sz w:val="24"/>
          <w:szCs w:val="24"/>
          <w:shd w:val="clear" w:color="auto" w:fill="FFFFFF"/>
        </w:rPr>
        <w:t xml:space="preserve"> </w:t>
      </w:r>
      <w:r w:rsidR="000412C1" w:rsidRPr="000412C1">
        <w:rPr>
          <w:rFonts w:ascii="Times New Roman" w:eastAsiaTheme="minorHAnsi" w:hAnsi="Times New Roman" w:cs="Times New Roman"/>
          <w:sz w:val="24"/>
          <w:szCs w:val="24"/>
        </w:rPr>
        <w:t>Rick is recognized as a process authority and is well established with FDA, USDA FSIS and CODEX requirements, specifically high acid, low-acid, acidified foods, non-thermal applications as we low moisture foods.</w:t>
      </w:r>
      <w:bookmarkStart w:id="0" w:name="_GoBack"/>
      <w:bookmarkEnd w:id="0"/>
    </w:p>
    <w:sectPr w:rsidR="0048473A" w:rsidRPr="00CA1AAD" w:rsidSect="00E406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487"/>
    <w:rsid w:val="000412C1"/>
    <w:rsid w:val="002E1126"/>
    <w:rsid w:val="003672DB"/>
    <w:rsid w:val="003A2FB9"/>
    <w:rsid w:val="0048473A"/>
    <w:rsid w:val="00695487"/>
    <w:rsid w:val="006B0432"/>
    <w:rsid w:val="00B6613E"/>
    <w:rsid w:val="00CA1AAD"/>
    <w:rsid w:val="00E406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E076E5-F316-4504-A913-47DE8751B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954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5487"/>
    <w:rPr>
      <w:rFonts w:asciiTheme="majorHAnsi" w:eastAsiaTheme="majorEastAsia" w:hAnsiTheme="majorHAnsi" w:cstheme="majorBidi"/>
      <w:b/>
      <w:bCs/>
      <w:color w:val="365F91" w:themeColor="accent1" w:themeShade="BF"/>
      <w:sz w:val="28"/>
      <w:szCs w:val="28"/>
    </w:rPr>
  </w:style>
  <w:style w:type="paragraph" w:customStyle="1" w:styleId="p">
    <w:name w:val="p"/>
    <w:basedOn w:val="Normal"/>
    <w:rsid w:val="0069548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95487"/>
    <w:rPr>
      <w:i/>
      <w:iCs/>
    </w:rPr>
  </w:style>
  <w:style w:type="character" w:customStyle="1" w:styleId="apple-converted-space">
    <w:name w:val="apple-converted-space"/>
    <w:basedOn w:val="DefaultParagraphFont"/>
    <w:rsid w:val="00695487"/>
  </w:style>
  <w:style w:type="paragraph" w:styleId="NormalWeb">
    <w:name w:val="Normal (Web)"/>
    <w:basedOn w:val="Normal"/>
    <w:uiPriority w:val="99"/>
    <w:semiHidden/>
    <w:unhideWhenUsed/>
    <w:rsid w:val="0069548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B6613E"/>
    <w:pPr>
      <w:autoSpaceDE w:val="0"/>
      <w:autoSpaceDN w:val="0"/>
      <w:adjustRightInd w:val="0"/>
      <w:spacing w:after="0" w:line="240" w:lineRule="auto"/>
    </w:pPr>
    <w:rPr>
      <w:rFonts w:ascii="Cambria" w:hAnsi="Cambria" w:cs="Cambria"/>
      <w:color w:val="000000"/>
      <w:sz w:val="24"/>
      <w:szCs w:val="24"/>
    </w:rPr>
  </w:style>
  <w:style w:type="character" w:customStyle="1" w:styleId="A1">
    <w:name w:val="A1"/>
    <w:uiPriority w:val="99"/>
    <w:rsid w:val="00B6613E"/>
    <w:rPr>
      <w:rFonts w:cs="Cambria"/>
      <w:b/>
      <w:bCs/>
      <w:color w:val="0E5F9D"/>
      <w:sz w:val="40"/>
      <w:szCs w:val="40"/>
    </w:rPr>
  </w:style>
  <w:style w:type="paragraph" w:customStyle="1" w:styleId="Pa7">
    <w:name w:val="Pa7"/>
    <w:basedOn w:val="Default"/>
    <w:next w:val="Default"/>
    <w:uiPriority w:val="99"/>
    <w:rsid w:val="00B6613E"/>
    <w:pPr>
      <w:spacing w:line="241" w:lineRule="atLeast"/>
    </w:pPr>
    <w:rPr>
      <w:rFonts w:cstheme="minorBidi"/>
      <w:color w:val="auto"/>
    </w:rPr>
  </w:style>
  <w:style w:type="character" w:customStyle="1" w:styleId="A6">
    <w:name w:val="A6"/>
    <w:uiPriority w:val="99"/>
    <w:rsid w:val="00B6613E"/>
    <w:rPr>
      <w:rFonts w:cs="Cambria"/>
      <w:color w:val="40404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3779407">
      <w:bodyDiv w:val="1"/>
      <w:marLeft w:val="0"/>
      <w:marRight w:val="0"/>
      <w:marTop w:val="0"/>
      <w:marBottom w:val="0"/>
      <w:divBdr>
        <w:top w:val="none" w:sz="0" w:space="0" w:color="auto"/>
        <w:left w:val="none" w:sz="0" w:space="0" w:color="auto"/>
        <w:bottom w:val="none" w:sz="0" w:space="0" w:color="auto"/>
        <w:right w:val="none" w:sz="0" w:space="0" w:color="auto"/>
      </w:divBdr>
    </w:div>
    <w:div w:id="723216555">
      <w:bodyDiv w:val="1"/>
      <w:marLeft w:val="0"/>
      <w:marRight w:val="0"/>
      <w:marTop w:val="0"/>
      <w:marBottom w:val="0"/>
      <w:divBdr>
        <w:top w:val="none" w:sz="0" w:space="0" w:color="auto"/>
        <w:left w:val="none" w:sz="0" w:space="0" w:color="auto"/>
        <w:bottom w:val="none" w:sz="0" w:space="0" w:color="auto"/>
        <w:right w:val="none" w:sz="0" w:space="0" w:color="auto"/>
      </w:divBdr>
    </w:div>
    <w:div w:id="942226812">
      <w:bodyDiv w:val="1"/>
      <w:marLeft w:val="0"/>
      <w:marRight w:val="0"/>
      <w:marTop w:val="0"/>
      <w:marBottom w:val="0"/>
      <w:divBdr>
        <w:top w:val="none" w:sz="0" w:space="0" w:color="auto"/>
        <w:left w:val="none" w:sz="0" w:space="0" w:color="auto"/>
        <w:bottom w:val="none" w:sz="0" w:space="0" w:color="auto"/>
        <w:right w:val="none" w:sz="0" w:space="0" w:color="auto"/>
      </w:divBdr>
    </w:div>
    <w:div w:id="121539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dc:creator>
  <cp:lastModifiedBy>Falkenberg,Ricky,FREMONT,NUTIRD Fremont Global Research Admn</cp:lastModifiedBy>
  <cp:revision>3</cp:revision>
  <dcterms:created xsi:type="dcterms:W3CDTF">2017-09-26T14:47:00Z</dcterms:created>
  <dcterms:modified xsi:type="dcterms:W3CDTF">2017-09-26T14:47:00Z</dcterms:modified>
</cp:coreProperties>
</file>