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rPr>
        <w:t>Study on Knowledge of</w:t>
      </w:r>
      <w:r>
        <w:rPr>
          <w:rFonts w:ascii="Times New Roman" w:hAnsi="Times New Roman" w:eastAsia="Times New Roman" w:cs="Times New Roman"/>
          <w:b/>
          <w:bCs/>
          <w:color w:val="FF0000"/>
          <w:sz w:val="24"/>
          <w:szCs w:val="24"/>
        </w:rPr>
        <w:t xml:space="preserve"> </w:t>
      </w:r>
      <w:r>
        <w:rPr>
          <w:rFonts w:ascii="Times New Roman" w:hAnsi="Times New Roman" w:eastAsia="Times New Roman" w:cs="Times New Roman"/>
          <w:b/>
          <w:bCs/>
          <w:sz w:val="24"/>
          <w:szCs w:val="24"/>
        </w:rPr>
        <w:t>Food Safety and Hygiene Practices among the Students of Farm Universities in Karnataka State</w:t>
      </w:r>
      <w:r>
        <w:rPr>
          <w:rFonts w:ascii="Times New Roman" w:hAnsi="Times New Roman" w:eastAsia="Times New Roman" w:cs="Times New Roman"/>
          <w:b/>
          <w:bCs/>
          <w:sz w:val="24"/>
          <w:szCs w:val="24"/>
          <w:lang w:val="en-US"/>
        </w:rPr>
        <w:t xml:space="preserve"> of India</w:t>
      </w:r>
    </w:p>
    <w:p>
      <w:pPr>
        <w:pStyle w:val="6"/>
        <w:spacing w:before="73" w:line="198" w:lineRule="exact"/>
        <w:ind w:right="570" w:rightChars="0"/>
        <w:rPr>
          <w:rFonts w:ascii="Times New Roman" w:hAnsi="Times New Roman" w:cs="Times New Roman"/>
          <w:sz w:val="20"/>
          <w:szCs w:val="20"/>
          <w:lang w:val="en-US"/>
        </w:rPr>
      </w:pPr>
      <w:r>
        <w:rPr>
          <w:rFonts w:ascii="Times New Roman" w:hAnsi="Times New Roman" w:cs="Times New Roman"/>
          <w:b/>
          <w:bCs/>
          <w:sz w:val="20"/>
          <w:szCs w:val="20"/>
          <w:lang w:val="en-US"/>
        </w:rPr>
        <w:t>Shanabhoga M B</w:t>
      </w:r>
      <w:r>
        <w:rPr>
          <w:rFonts w:ascii="Times New Roman" w:hAnsi="Times New Roman" w:cs="Times New Roman"/>
          <w:sz w:val="20"/>
          <w:szCs w:val="20"/>
        </w:rPr>
        <w:t>, PhD</w:t>
      </w:r>
      <w:r>
        <w:rPr>
          <w:rFonts w:ascii="Times New Roman" w:hAnsi="Times New Roman" w:cs="Times New Roman"/>
          <w:sz w:val="20"/>
          <w:szCs w:val="20"/>
          <w:lang w:val="en-US"/>
        </w:rPr>
        <w:t xml:space="preserve"> Sholar</w:t>
      </w:r>
      <w:r>
        <w:rPr>
          <w:rFonts w:ascii="Times New Roman" w:hAnsi="Times New Roman" w:cs="Times New Roman"/>
          <w:sz w:val="20"/>
          <w:szCs w:val="20"/>
        </w:rPr>
        <w:t xml:space="preserve">, </w:t>
      </w:r>
      <w:r>
        <w:rPr>
          <w:rFonts w:ascii="Times New Roman" w:hAnsi="Times New Roman" w:cs="Times New Roman"/>
          <w:sz w:val="20"/>
          <w:szCs w:val="20"/>
          <w:lang w:val="en-US"/>
        </w:rPr>
        <w:t>Department of Agricultural Extension, UAS, GKVK, Bangalore</w:t>
      </w:r>
      <w:r>
        <w:rPr>
          <w:rFonts w:ascii="Times New Roman" w:hAnsi="Times New Roman" w:cs="Times New Roman"/>
          <w:sz w:val="20"/>
          <w:szCs w:val="20"/>
        </w:rPr>
        <w:t xml:space="preserve">, </w:t>
      </w:r>
      <w:r>
        <w:rPr>
          <w:rFonts w:ascii="Times New Roman" w:hAnsi="Times New Roman" w:cs="Times New Roman"/>
          <w:sz w:val="20"/>
          <w:szCs w:val="20"/>
          <w:lang w:val="en-US"/>
        </w:rPr>
        <w:t>INDIA</w:t>
      </w:r>
    </w:p>
    <w:p>
      <w:pPr>
        <w:pStyle w:val="6"/>
        <w:spacing w:before="73" w:line="198" w:lineRule="exact"/>
        <w:ind w:right="570" w:rightChars="0"/>
        <w:rPr>
          <w:rFonts w:ascii="Times New Roman" w:hAnsi="Times New Roman" w:cs="Times New Roman"/>
          <w:sz w:val="20"/>
          <w:szCs w:val="20"/>
          <w:lang w:val="en-US"/>
        </w:rPr>
      </w:pPr>
      <w:r>
        <w:rPr>
          <w:rFonts w:ascii="Times New Roman" w:hAnsi="Times New Roman" w:cs="Times New Roman"/>
          <w:sz w:val="20"/>
          <w:szCs w:val="20"/>
          <w:lang w:val="en-US"/>
        </w:rPr>
        <w:t>Shivani Dechamma</w:t>
      </w:r>
      <w:r>
        <w:rPr>
          <w:rFonts w:ascii="Times New Roman" w:hAnsi="Times New Roman" w:cs="Times New Roman"/>
          <w:sz w:val="20"/>
          <w:szCs w:val="20"/>
        </w:rPr>
        <w:t xml:space="preserve">, </w:t>
      </w:r>
      <w:r>
        <w:rPr>
          <w:rFonts w:ascii="Times New Roman" w:hAnsi="Times New Roman" w:cs="Times New Roman"/>
          <w:sz w:val="20"/>
          <w:szCs w:val="20"/>
        </w:rPr>
        <w:t>PhD</w:t>
      </w:r>
      <w:r>
        <w:rPr>
          <w:rFonts w:ascii="Times New Roman" w:hAnsi="Times New Roman" w:cs="Times New Roman"/>
          <w:sz w:val="20"/>
          <w:szCs w:val="20"/>
          <w:lang w:val="en-US"/>
        </w:rPr>
        <w:t xml:space="preserve"> Sholar</w:t>
      </w:r>
      <w:r>
        <w:rPr>
          <w:rFonts w:ascii="Times New Roman" w:hAnsi="Times New Roman" w:cs="Times New Roman"/>
          <w:sz w:val="20"/>
          <w:szCs w:val="20"/>
        </w:rPr>
        <w:t xml:space="preserve">, </w:t>
      </w:r>
      <w:r>
        <w:rPr>
          <w:rFonts w:ascii="Times New Roman" w:hAnsi="Times New Roman" w:cs="Times New Roman"/>
          <w:sz w:val="20"/>
          <w:szCs w:val="20"/>
          <w:lang w:val="en-US"/>
        </w:rPr>
        <w:t>Department of Agricultural Extension, UAS, GKVK, Bangalore</w:t>
      </w:r>
      <w:r>
        <w:rPr>
          <w:rFonts w:ascii="Times New Roman" w:hAnsi="Times New Roman" w:cs="Times New Roman"/>
          <w:sz w:val="20"/>
          <w:szCs w:val="20"/>
        </w:rPr>
        <w:t xml:space="preserve">, </w:t>
      </w:r>
      <w:r>
        <w:rPr>
          <w:rFonts w:ascii="Times New Roman" w:hAnsi="Times New Roman" w:cs="Times New Roman"/>
          <w:sz w:val="20"/>
          <w:szCs w:val="20"/>
          <w:lang w:val="en-US"/>
        </w:rPr>
        <w:t>INDIA</w:t>
      </w:r>
    </w:p>
    <w:p>
      <w:pPr>
        <w:pStyle w:val="6"/>
        <w:spacing w:before="73" w:line="198" w:lineRule="exact"/>
        <w:ind w:right="570" w:rightChars="0"/>
        <w:rPr>
          <w:rFonts w:ascii="Times New Roman" w:hAnsi="Times New Roman" w:cs="Times New Roman"/>
          <w:sz w:val="20"/>
          <w:szCs w:val="20"/>
          <w:lang w:val="en-US"/>
        </w:rPr>
      </w:pPr>
      <w:r>
        <w:rPr>
          <w:rFonts w:ascii="Times New Roman" w:hAnsi="Times New Roman" w:cs="Times New Roman"/>
          <w:sz w:val="20"/>
          <w:szCs w:val="20"/>
          <w:lang w:val="en-US"/>
        </w:rPr>
        <w:t xml:space="preserve">Manjuprakash, </w:t>
      </w:r>
      <w:r>
        <w:rPr>
          <w:rFonts w:ascii="Times New Roman" w:hAnsi="Times New Roman" w:cs="Times New Roman"/>
          <w:sz w:val="20"/>
          <w:szCs w:val="20"/>
        </w:rPr>
        <w:t>PhD</w:t>
      </w:r>
      <w:r>
        <w:rPr>
          <w:rFonts w:ascii="Times New Roman" w:hAnsi="Times New Roman" w:cs="Times New Roman"/>
          <w:sz w:val="20"/>
          <w:szCs w:val="20"/>
          <w:lang w:val="en-US"/>
        </w:rPr>
        <w:t xml:space="preserve"> Sholar</w:t>
      </w:r>
      <w:r>
        <w:rPr>
          <w:rFonts w:ascii="Times New Roman" w:hAnsi="Times New Roman" w:cs="Times New Roman"/>
          <w:sz w:val="20"/>
          <w:szCs w:val="20"/>
        </w:rPr>
        <w:t xml:space="preserve">, </w:t>
      </w:r>
      <w:r>
        <w:rPr>
          <w:rFonts w:ascii="Times New Roman" w:hAnsi="Times New Roman" w:cs="Times New Roman"/>
          <w:sz w:val="20"/>
          <w:szCs w:val="20"/>
          <w:lang w:val="en-US"/>
        </w:rPr>
        <w:t>Department of Agricultural Extension, UAS, GKVK, Bangalore</w:t>
      </w:r>
      <w:r>
        <w:rPr>
          <w:rFonts w:ascii="Times New Roman" w:hAnsi="Times New Roman" w:cs="Times New Roman"/>
          <w:sz w:val="20"/>
          <w:szCs w:val="20"/>
        </w:rPr>
        <w:t xml:space="preserve">, </w:t>
      </w:r>
      <w:r>
        <w:rPr>
          <w:rFonts w:ascii="Times New Roman" w:hAnsi="Times New Roman" w:cs="Times New Roman"/>
          <w:sz w:val="20"/>
          <w:szCs w:val="20"/>
          <w:lang w:val="en-US"/>
        </w:rPr>
        <w:t>INDIA</w:t>
      </w:r>
    </w:p>
    <w:p>
      <w:pPr>
        <w:pStyle w:val="6"/>
        <w:spacing w:before="73" w:line="198" w:lineRule="exact"/>
        <w:ind w:right="570" w:rightChars="0"/>
        <w:rPr>
          <w:rFonts w:ascii="Times New Roman" w:hAnsi="Times New Roman" w:cs="Times New Roman"/>
          <w:sz w:val="20"/>
          <w:szCs w:val="20"/>
          <w:lang w:val="en-US"/>
        </w:rPr>
      </w:pPr>
      <w:r>
        <w:rPr>
          <w:rFonts w:ascii="Times New Roman" w:hAnsi="Times New Roman" w:cs="Times New Roman"/>
          <w:sz w:val="20"/>
          <w:szCs w:val="20"/>
          <w:lang w:val="en-US"/>
        </w:rPr>
        <w:t>B Krishnamurthy, Professor</w:t>
      </w:r>
      <w:r>
        <w:rPr>
          <w:rFonts w:ascii="Times New Roman" w:hAnsi="Times New Roman" w:cs="Times New Roman"/>
          <w:sz w:val="20"/>
          <w:szCs w:val="20"/>
        </w:rPr>
        <w:t xml:space="preserve">, </w:t>
      </w:r>
      <w:r>
        <w:rPr>
          <w:rFonts w:ascii="Times New Roman" w:hAnsi="Times New Roman" w:cs="Times New Roman"/>
          <w:sz w:val="20"/>
          <w:szCs w:val="20"/>
          <w:lang w:val="en-US"/>
        </w:rPr>
        <w:t>Department of Agricultural Extension, UAS, GKVK, Bangalore</w:t>
      </w:r>
      <w:r>
        <w:rPr>
          <w:rFonts w:ascii="Times New Roman" w:hAnsi="Times New Roman" w:cs="Times New Roman"/>
          <w:sz w:val="20"/>
          <w:szCs w:val="20"/>
        </w:rPr>
        <w:t xml:space="preserve">, </w:t>
      </w:r>
      <w:r>
        <w:rPr>
          <w:rFonts w:ascii="Times New Roman" w:hAnsi="Times New Roman" w:cs="Times New Roman"/>
          <w:sz w:val="20"/>
          <w:szCs w:val="20"/>
          <w:lang w:val="en-US"/>
        </w:rPr>
        <w:t>INDIA</w:t>
      </w:r>
    </w:p>
    <w:p>
      <w:pPr>
        <w:pStyle w:val="6"/>
        <w:spacing w:before="73" w:line="198" w:lineRule="exact"/>
        <w:ind w:right="5987"/>
        <w:rPr>
          <w:rFonts w:ascii="Times New Roman" w:hAnsi="Times New Roman" w:cs="Times New Roman"/>
          <w:sz w:val="20"/>
          <w:szCs w:val="20"/>
          <w:lang w:val="en-US"/>
        </w:rPr>
      </w:pPr>
    </w:p>
    <w:p>
      <w:pPr>
        <w:pStyle w:val="4"/>
        <w:spacing w:before="147"/>
        <w:ind w:left="0"/>
        <w:jc w:val="both"/>
        <w:rPr>
          <w:rFonts w:ascii="Times New Roman" w:hAnsi="Times New Roman" w:cs="Times New Roman"/>
        </w:rPr>
      </w:pPr>
      <w:r>
        <w:rPr>
          <w:rFonts w:ascii="Times New Roman" w:hAnsi="Times New Roman" w:cs="Times New Roman"/>
          <w:color w:val="BF5A14"/>
        </w:rPr>
        <w:t xml:space="preserve">Abstract </w:t>
      </w:r>
    </w:p>
    <w:p>
      <w:pPr>
        <w:spacing w:line="275" w:lineRule="auto"/>
        <w:ind w:firstLine="23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Global occurrence of foodborne illnesses is of concerned importance for public health in both developed and developing countries. In a recent report provided by the World Health Organization (WHO), revealed that, one in ten people fall ill globally due to foodborne diseases, while more than 91 million people are affected in developing countries despite various research and intervention measures initiated towards food safety</w:t>
      </w:r>
      <w:r>
        <w:rPr>
          <w:rFonts w:ascii="Times New Roman" w:hAnsi="Times New Roman" w:eastAsia="Times New Roman" w:cs="Times New Roman"/>
          <w:sz w:val="24"/>
          <w:szCs w:val="24"/>
          <w:lang w:val="en-US"/>
        </w:rPr>
        <w:t>. Agriculture</w:t>
      </w:r>
      <w:r>
        <w:rPr>
          <w:rFonts w:ascii="Times New Roman" w:hAnsi="Times New Roman" w:eastAsia="Times New Roman" w:cs="Times New Roman"/>
          <w:sz w:val="24"/>
          <w:szCs w:val="24"/>
        </w:rPr>
        <w:t xml:space="preserve"> as a discipline plays a significant role in food security and safety. Among several courses taught in </w:t>
      </w:r>
      <w:r>
        <w:rPr>
          <w:rFonts w:ascii="Times New Roman" w:hAnsi="Times New Roman" w:eastAsia="Times New Roman" w:cs="Times New Roman"/>
          <w:sz w:val="24"/>
          <w:szCs w:val="24"/>
          <w:lang w:val="en-US"/>
        </w:rPr>
        <w:t>farm</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universities,</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Food Science and Nutrition which includes the importance of Food Safety</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 xml:space="preserve"> In this aspect, a study was conducted on</w:t>
      </w:r>
      <w:r>
        <w:rPr>
          <w:rFonts w:ascii="Times New Roman" w:hAnsi="Times New Roman" w:eastAsia="Times New Roman" w:cs="Times New Roman"/>
          <w:sz w:val="24"/>
          <w:szCs w:val="24"/>
        </w:rPr>
        <w:t xml:space="preserve"> food safety knowledge, attitudes and hygiene practices (KAP) among the students of </w:t>
      </w:r>
      <w:r>
        <w:rPr>
          <w:rFonts w:ascii="Times New Roman" w:hAnsi="Times New Roman" w:eastAsia="Times New Roman" w:cs="Times New Roman"/>
          <w:sz w:val="24"/>
          <w:szCs w:val="24"/>
          <w:lang w:val="en-US"/>
        </w:rPr>
        <w:t>Farm Universities</w:t>
      </w:r>
      <w:r>
        <w:rPr>
          <w:rFonts w:ascii="Times New Roman" w:hAnsi="Times New Roman" w:eastAsia="Times New Roman" w:cs="Times New Roman"/>
          <w:sz w:val="24"/>
          <w:szCs w:val="24"/>
        </w:rPr>
        <w:t xml:space="preserve"> in </w:t>
      </w:r>
      <w:r>
        <w:rPr>
          <w:rFonts w:ascii="Times New Roman" w:hAnsi="Times New Roman" w:eastAsia="Times New Roman" w:cs="Times New Roman"/>
          <w:sz w:val="24"/>
          <w:szCs w:val="24"/>
          <w:lang w:val="en-US"/>
        </w:rPr>
        <w:t>Karnataka</w:t>
      </w:r>
      <w:r>
        <w:rPr>
          <w:rFonts w:ascii="Times New Roman" w:hAnsi="Times New Roman" w:eastAsia="Times New Roman" w:cs="Times New Roman"/>
          <w:sz w:val="24"/>
          <w:szCs w:val="24"/>
        </w:rPr>
        <w:t xml:space="preserve"> during 2018. The data was collected from 200 students of all the farm universities of Karnataka and the results are presented in this paper. It was observed that, the age and the gender had no effect on knowledge about food safety and</w:t>
      </w:r>
      <w:r>
        <w:rPr>
          <w:rFonts w:ascii="Times New Roman" w:hAnsi="Times New Roman" w:eastAsia="Times New Roman" w:cs="Times New Roman"/>
          <w:sz w:val="24"/>
          <w:szCs w:val="24"/>
          <w:lang w:val="en-US"/>
        </w:rPr>
        <w:t xml:space="preserve"> hygiene </w:t>
      </w:r>
      <w:r>
        <w:rPr>
          <w:rFonts w:ascii="Times New Roman" w:hAnsi="Times New Roman" w:eastAsia="Times New Roman" w:cs="Times New Roman"/>
          <w:sz w:val="24"/>
          <w:szCs w:val="24"/>
        </w:rPr>
        <w:t xml:space="preserve">practices. Also there was no significant difference (p &gt; 0.05) on food safety knowledge and </w:t>
      </w:r>
      <w:r>
        <w:rPr>
          <w:rFonts w:ascii="Times New Roman" w:hAnsi="Times New Roman" w:eastAsia="Times New Roman" w:cs="Times New Roman"/>
          <w:sz w:val="24"/>
          <w:szCs w:val="24"/>
          <w:lang w:val="en-US"/>
        </w:rPr>
        <w:t xml:space="preserve">hygiene </w:t>
      </w:r>
      <w:r>
        <w:rPr>
          <w:rFonts w:ascii="Times New Roman" w:hAnsi="Times New Roman" w:eastAsia="Times New Roman" w:cs="Times New Roman"/>
          <w:sz w:val="24"/>
          <w:szCs w:val="24"/>
        </w:rPr>
        <w:t>practices among farm university students irrespective of the degree progrmme. A high level of food safety knowledge was observed among the participants (85.</w:t>
      </w:r>
      <w:r>
        <w:rPr>
          <w:rFonts w:ascii="Times New Roman" w:hAnsi="Times New Roman" w:eastAsia="Times New Roman" w:cs="Times New Roman"/>
          <w:sz w:val="24"/>
          <w:szCs w:val="24"/>
          <w:lang w:val="en-US"/>
        </w:rPr>
        <w:t>25</w:t>
      </w:r>
      <w:r>
        <w:rPr>
          <w:rFonts w:ascii="Times New Roman" w:hAnsi="Times New Roman" w:eastAsia="Times New Roman" w:cs="Times New Roman"/>
          <w:sz w:val="24"/>
          <w:szCs w:val="24"/>
        </w:rPr>
        <w:t>%). However, the practice of food safety was above average (</w:t>
      </w:r>
      <w:r>
        <w:rPr>
          <w:rFonts w:ascii="Times New Roman" w:hAnsi="Times New Roman" w:eastAsia="Times New Roman" w:cs="Times New Roman"/>
          <w:sz w:val="24"/>
          <w:szCs w:val="24"/>
          <w:lang w:val="en-US"/>
        </w:rPr>
        <w:t>58</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73</w:t>
      </w:r>
      <w:r>
        <w:rPr>
          <w:rFonts w:ascii="Times New Roman" w:hAnsi="Times New Roman" w:eastAsia="Times New Roman" w:cs="Times New Roman"/>
          <w:sz w:val="24"/>
          <w:szCs w:val="24"/>
        </w:rPr>
        <w:t>%) while attitude toward food safety was high (7</w:t>
      </w:r>
      <w:r>
        <w:rPr>
          <w:rFonts w:ascii="Times New Roman" w:hAnsi="Times New Roman" w:eastAsia="Times New Roman" w:cs="Times New Roman"/>
          <w:sz w:val="24"/>
          <w:szCs w:val="24"/>
          <w:lang w:val="en-US"/>
        </w:rPr>
        <w:t>1.84</w:t>
      </w:r>
      <w:r>
        <w:rPr>
          <w:rFonts w:ascii="Times New Roman" w:hAnsi="Times New Roman" w:eastAsia="Times New Roman" w:cs="Times New Roman"/>
          <w:sz w:val="24"/>
          <w:szCs w:val="24"/>
        </w:rPr>
        <w:t>%). The results of the study conclude that, although there was a significant awareness of food safety knowledge among farm university students, there is a need for inclusion of few more courses on food science and nutrition to make the students to inculcate the good practices for food safety so as to avoid and prevent the foodborne diseases. Therefore, it could be concluded that there is a need for practical food safety education among the participants.</w:t>
      </w:r>
    </w:p>
    <w:p>
      <w:pPr>
        <w:pStyle w:val="6"/>
        <w:spacing w:before="2"/>
        <w:rPr>
          <w:rFonts w:ascii="Times New Roman" w:hAnsi="Times New Roman" w:cs="Times New Roman"/>
          <w:b/>
          <w:sz w:val="20"/>
          <w:szCs w:val="20"/>
        </w:rPr>
      </w:pPr>
    </w:p>
    <w:p>
      <w:pPr>
        <w:spacing w:line="204" w:lineRule="exact"/>
        <w:rPr>
          <w:rFonts w:ascii="Times New Roman" w:hAnsi="Times New Roman" w:cs="Times New Roman"/>
          <w:b/>
          <w:sz w:val="20"/>
          <w:szCs w:val="20"/>
        </w:rPr>
      </w:pPr>
      <w:r>
        <w:rPr>
          <w:rFonts w:ascii="Times New Roman" w:hAnsi="Times New Roman" w:cs="Times New Roman"/>
          <w:b/>
          <w:color w:val="BF5A14"/>
          <w:sz w:val="20"/>
          <w:szCs w:val="20"/>
        </w:rPr>
        <w:br w:type="textWrapping"/>
      </w:r>
      <w:r>
        <w:rPr>
          <w:rFonts w:ascii="Times New Roman" w:hAnsi="Times New Roman" w:cs="Times New Roman"/>
          <w:b/>
          <w:color w:val="BF5A14"/>
          <w:sz w:val="20"/>
          <w:szCs w:val="20"/>
        </w:rPr>
        <w:t xml:space="preserve">Recent Publications </w:t>
      </w:r>
      <w:bookmarkStart w:id="0" w:name="_GoBack"/>
      <w:bookmarkEnd w:id="0"/>
    </w:p>
    <w:p>
      <w:pPr>
        <w:numPr>
          <w:ilvl w:val="0"/>
          <w:numId w:val="1"/>
        </w:numPr>
        <w:tabs>
          <w:tab w:val="left" w:pos="307"/>
          <w:tab w:val="clear" w:pos="425"/>
        </w:tabs>
        <w:spacing w:line="255" w:lineRule="auto"/>
        <w:ind w:left="425" w:leftChars="0" w:hanging="425" w:firstLineChars="0"/>
        <w:jc w:val="both"/>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"http://refhub.elsevier.com/S1876-0341(17)30012-6/sbref0005"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WHO. WHO estimates of the global burden of foodborne diseases: food</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"http://refhub.elsevier.com/S1876-0341(17)30012-6/sbref0005"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borne disease burden epidemiology reference group 2007-2015. WHO Library</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"http://refhub.elsevier.com/S1876-0341(17)30012-6/sbref0005"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Cataloguing-in-Publication Data; 2015. p. 1–252.</w:t>
      </w:r>
      <w:r>
        <w:rPr>
          <w:rFonts w:hint="default" w:ascii="Times New Roman" w:hAnsi="Times New Roman" w:cs="Times New Roman"/>
          <w:color w:val="000000" w:themeColor="text1"/>
          <w:sz w:val="22"/>
          <w:szCs w:val="22"/>
          <w14:textFill>
            <w14:solidFill>
              <w14:schemeClr w14:val="tx1"/>
            </w14:solidFill>
          </w14:textFill>
        </w:rPr>
        <w:fldChar w:fldCharType="end"/>
      </w:r>
    </w:p>
    <w:p>
      <w:pPr>
        <w:numPr>
          <w:ilvl w:val="0"/>
          <w:numId w:val="1"/>
        </w:numPr>
        <w:tabs>
          <w:tab w:val="left" w:pos="307"/>
          <w:tab w:val="clear" w:pos="425"/>
        </w:tabs>
        <w:spacing w:line="255" w:lineRule="auto"/>
        <w:ind w:left="425" w:leftChars="0" w:hanging="425" w:firstLineChars="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"http://refhub.elsevier.com/S1876-0341(17)30012-6/sbref0025"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Sani NA, Siow ON. Knowledge, attitudes and practices of food handlers on food</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"http://refhub.elsevier.com/S1876-0341(17)30012-6/sbref0025"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safety in food service operations at the Universiti Kebangsaan Malaysia. Food</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"http://refhub.elsevier.com/S1876-0341(17)30012-6/sbref0025"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Control 2014;37:210–7.</w:t>
      </w:r>
      <w:r>
        <w:rPr>
          <w:rFonts w:hint="default" w:ascii="Times New Roman" w:hAnsi="Times New Roman" w:cs="Times New Roman"/>
          <w:color w:val="000000" w:themeColor="text1"/>
          <w:sz w:val="22"/>
          <w:szCs w:val="22"/>
          <w14:textFill>
            <w14:solidFill>
              <w14:schemeClr w14:val="tx1"/>
            </w14:solidFill>
          </w14:textFill>
        </w:rPr>
        <w:fldChar w:fldCharType="end"/>
      </w:r>
    </w:p>
    <w:p>
      <w:pPr>
        <w:spacing w:line="1" w:lineRule="exact"/>
        <w:jc w:val="both"/>
        <w:rPr>
          <w:rFonts w:hint="default" w:ascii="Times New Roman" w:hAnsi="Times New Roman" w:eastAsia="Times New Roman" w:cs="Times New Roman"/>
          <w:color w:val="000000" w:themeColor="text1"/>
          <w:sz w:val="22"/>
          <w:szCs w:val="22"/>
          <w14:textFill>
            <w14:solidFill>
              <w14:schemeClr w14:val="tx1"/>
            </w14:solidFill>
          </w14:textFill>
        </w:rPr>
      </w:pPr>
    </w:p>
    <w:p>
      <w:pPr>
        <w:numPr>
          <w:ilvl w:val="0"/>
          <w:numId w:val="0"/>
        </w:numPr>
        <w:tabs>
          <w:tab w:val="left" w:pos="307"/>
        </w:tabs>
        <w:spacing w:line="268" w:lineRule="auto"/>
        <w:jc w:val="both"/>
        <w:rPr>
          <w:rFonts w:hint="default" w:ascii="Times New Roman" w:hAnsi="Times New Roman" w:cs="Times New Roman"/>
          <w:color w:val="000000" w:themeColor="text1"/>
          <w:sz w:val="22"/>
          <w:szCs w:val="22"/>
          <w14:textFill>
            <w14:solidFill>
              <w14:schemeClr w14:val="tx1"/>
            </w14:solidFill>
          </w14:textFill>
        </w:rPr>
      </w:pPr>
    </w:p>
    <w:p>
      <w:pPr>
        <w:numPr>
          <w:ilvl w:val="0"/>
          <w:numId w:val="1"/>
        </w:numPr>
        <w:tabs>
          <w:tab w:val="left" w:pos="307"/>
          <w:tab w:val="clear" w:pos="425"/>
        </w:tabs>
        <w:spacing w:line="268" w:lineRule="auto"/>
        <w:ind w:left="425" w:leftChars="0" w:hanging="425" w:firstLineChars="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"http://refhub.elsevier.com/S1876-0341(17)30012-6/sbref0030"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Patil SR, Cates S, Morales R. Consumer food safety knowledge, practices,</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"http://refhub.elsevier.com/S1876-0341(17)30012-6/sbref0030"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and demographic differences: findings from a meta-analysis. J Food Prot</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"http://refhub.elsevier.com/S1876-0341(17)30012-6/sbref0030"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2005;68:1884–94.</w:t>
      </w:r>
      <w:r>
        <w:rPr>
          <w:rFonts w:hint="default" w:ascii="Times New Roman" w:hAnsi="Times New Roman" w:cs="Times New Roman"/>
          <w:color w:val="000000" w:themeColor="text1"/>
          <w:sz w:val="22"/>
          <w:szCs w:val="22"/>
          <w14:textFill>
            <w14:solidFill>
              <w14:schemeClr w14:val="tx1"/>
            </w14:solidFill>
          </w14:textFill>
        </w:rPr>
        <w:fldChar w:fldCharType="end"/>
      </w:r>
    </w:p>
    <w:p>
      <w:pPr>
        <w:spacing w:line="144" w:lineRule="exact"/>
        <w:jc w:val="both"/>
        <w:rPr>
          <w:rFonts w:hint="default" w:ascii="Times New Roman" w:hAnsi="Times New Roman" w:eastAsia="Times New Roman" w:cs="Times New Roman"/>
          <w:color w:val="000000" w:themeColor="text1"/>
          <w:sz w:val="22"/>
          <w:szCs w:val="22"/>
          <w14:textFill>
            <w14:solidFill>
              <w14:schemeClr w14:val="tx1"/>
            </w14:solidFill>
          </w14:textFill>
        </w:rPr>
      </w:pPr>
    </w:p>
    <w:p>
      <w:pPr>
        <w:numPr>
          <w:ilvl w:val="0"/>
          <w:numId w:val="1"/>
        </w:numPr>
        <w:tabs>
          <w:tab w:val="left" w:pos="307"/>
          <w:tab w:val="clear" w:pos="425"/>
        </w:tabs>
        <w:spacing w:line="255" w:lineRule="auto"/>
        <w:ind w:left="425" w:leftChars="0" w:hanging="425" w:firstLineChars="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"http://refhub.elsevier.com/S1876-0341(17)30012-6/sbref0035"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Hassan HF, Dimassi H. Food safety and handling knowledge and practices of</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"http://refhub.elsevier.com/S1876-0341(17)30012-6/sbref0035"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Lebanese university students. Food Control 2014;40:127–33.</w:t>
      </w:r>
      <w:r>
        <w:rPr>
          <w:rFonts w:hint="default" w:ascii="Times New Roman" w:hAnsi="Times New Roman" w:cs="Times New Roman"/>
          <w:color w:val="000000" w:themeColor="text1"/>
          <w:sz w:val="22"/>
          <w:szCs w:val="22"/>
          <w14:textFill>
            <w14:solidFill>
              <w14:schemeClr w14:val="tx1"/>
            </w14:solidFill>
          </w14:textFill>
        </w:rPr>
        <w:fldChar w:fldCharType="end"/>
      </w:r>
    </w:p>
    <w:p>
      <w:pPr>
        <w:spacing w:line="1" w:lineRule="exact"/>
        <w:jc w:val="both"/>
        <w:rPr>
          <w:rFonts w:hint="default" w:ascii="Times New Roman" w:hAnsi="Times New Roman" w:eastAsia="Times New Roman" w:cs="Times New Roman"/>
          <w:color w:val="000000" w:themeColor="text1"/>
          <w:sz w:val="22"/>
          <w:szCs w:val="22"/>
          <w14:textFill>
            <w14:solidFill>
              <w14:schemeClr w14:val="tx1"/>
            </w14:solidFill>
          </w14:textFill>
        </w:rPr>
      </w:pPr>
    </w:p>
    <w:p>
      <w:pPr>
        <w:numPr>
          <w:ilvl w:val="0"/>
          <w:numId w:val="0"/>
        </w:numPr>
        <w:tabs>
          <w:tab w:val="left" w:pos="307"/>
        </w:tabs>
        <w:spacing w:line="255" w:lineRule="auto"/>
        <w:jc w:val="both"/>
        <w:rPr>
          <w:rFonts w:hint="default" w:ascii="Times New Roman" w:hAnsi="Times New Roman" w:cs="Times New Roman"/>
          <w:color w:val="000000" w:themeColor="text1"/>
          <w:sz w:val="22"/>
          <w:szCs w:val="22"/>
          <w14:textFill>
            <w14:solidFill>
              <w14:schemeClr w14:val="tx1"/>
            </w14:solidFill>
          </w14:textFill>
        </w:rPr>
      </w:pPr>
    </w:p>
    <w:p>
      <w:pPr>
        <w:numPr>
          <w:ilvl w:val="0"/>
          <w:numId w:val="1"/>
        </w:numPr>
        <w:tabs>
          <w:tab w:val="left" w:pos="307"/>
          <w:tab w:val="clear" w:pos="425"/>
        </w:tabs>
        <w:spacing w:line="255" w:lineRule="auto"/>
        <w:ind w:left="425" w:leftChars="0" w:hanging="425" w:firstLineChars="0"/>
        <w:jc w:val="both"/>
        <w:rPr>
          <w:rFonts w:hint="default" w:ascii="Times New Roman" w:hAnsi="Times New Roman" w:eastAsia="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"http://refhub.elsevier.com/S1876-0341(17)30012-6/sbref0040"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Farahat MF, El-Shafie MM, Waly MI. Food safety knowledge and practices</w:t>
      </w:r>
      <w:r>
        <w:rPr>
          <w:rFonts w:hint="default" w:ascii="Times New Roman" w:hAnsi="Times New Roman" w:cs="Times New Roman"/>
          <w:color w:val="000000" w:themeColor="text1"/>
          <w:sz w:val="22"/>
          <w:szCs w:val="22"/>
          <w14:textFill>
            <w14:solidFill>
              <w14:schemeClr w14:val="tx1"/>
            </w14:solidFill>
          </w14:textFill>
        </w:rPr>
        <w:fldChar w:fldCharType="end"/>
      </w:r>
      <w:r>
        <w:rPr>
          <w:rFonts w:hint="default" w:ascii="Times New Roman" w:hAnsi="Times New Roman" w:eastAsia="Times New Roman" w:cs="Times New Roman"/>
          <w:color w:val="000000" w:themeColor="text1"/>
          <w:sz w:val="22"/>
          <w:szCs w:val="22"/>
          <w14:textFill>
            <w14:solidFill>
              <w14:schemeClr w14:val="tx1"/>
            </w14:solidFill>
          </w14:textFill>
        </w:rPr>
        <w:t xml:space="preserve"> </w:t>
      </w:r>
      <w:r>
        <w:rPr>
          <w:rFonts w:hint="default" w:ascii="Times New Roman" w:hAnsi="Times New Roman" w:cs="Times New Roman"/>
          <w:color w:val="000000" w:themeColor="text1"/>
          <w:sz w:val="22"/>
          <w:szCs w:val="22"/>
          <w14:textFill>
            <w14:solidFill>
              <w14:schemeClr w14:val="tx1"/>
            </w14:solidFill>
          </w14:textFill>
        </w:rPr>
        <w:fldChar w:fldCharType="begin"/>
      </w:r>
      <w:r>
        <w:rPr>
          <w:rFonts w:hint="default" w:ascii="Times New Roman" w:hAnsi="Times New Roman" w:cs="Times New Roman"/>
          <w:color w:val="000000" w:themeColor="text1"/>
          <w:sz w:val="22"/>
          <w:szCs w:val="22"/>
          <w14:textFill>
            <w14:solidFill>
              <w14:schemeClr w14:val="tx1"/>
            </w14:solidFill>
          </w14:textFill>
        </w:rPr>
        <w:instrText xml:space="preserve"> HYPERLINK "http://refhub.elsevier.com/S1876-0341(17)30012-6/sbref0040" </w:instrText>
      </w:r>
      <w:r>
        <w:rPr>
          <w:rFonts w:hint="default" w:ascii="Times New Roman" w:hAnsi="Times New Roman" w:cs="Times New Roman"/>
          <w:color w:val="000000" w:themeColor="text1"/>
          <w:sz w:val="22"/>
          <w:szCs w:val="22"/>
          <w14:textFill>
            <w14:solidFill>
              <w14:schemeClr w14:val="tx1"/>
            </w14:solidFill>
          </w14:textFill>
        </w:rPr>
        <w:fldChar w:fldCharType="separate"/>
      </w:r>
      <w:r>
        <w:rPr>
          <w:rFonts w:hint="default" w:ascii="Times New Roman" w:hAnsi="Times New Roman" w:eastAsia="Times New Roman" w:cs="Times New Roman"/>
          <w:color w:val="000000" w:themeColor="text1"/>
          <w:sz w:val="22"/>
          <w:szCs w:val="22"/>
          <w14:textFill>
            <w14:solidFill>
              <w14:schemeClr w14:val="tx1"/>
            </w14:solidFill>
          </w14:textFill>
        </w:rPr>
        <w:t>among Saudi women. Food Control 2015;47:427–35.</w:t>
      </w:r>
      <w:r>
        <w:rPr>
          <w:rFonts w:hint="default" w:ascii="Times New Roman" w:hAnsi="Times New Roman" w:cs="Times New Roman"/>
          <w:color w:val="000000" w:themeColor="text1"/>
          <w:sz w:val="22"/>
          <w:szCs w:val="22"/>
          <w14:textFill>
            <w14:solidFill>
              <w14:schemeClr w14:val="tx1"/>
            </w14:solidFill>
          </w14:textFill>
        </w:rPr>
        <w:fldChar w:fldCharType="end"/>
      </w:r>
    </w:p>
    <w:p>
      <w:pPr>
        <w:spacing w:line="1" w:lineRule="exact"/>
        <w:jc w:val="both"/>
        <w:rPr>
          <w:rFonts w:hint="default" w:ascii="Times New Roman" w:hAnsi="Times New Roman" w:eastAsia="Times New Roman" w:cs="Times New Roman"/>
          <w:color w:val="000000" w:themeColor="text1"/>
          <w:sz w:val="22"/>
          <w:szCs w:val="22"/>
          <w14:textFill>
            <w14:solidFill>
              <w14:schemeClr w14:val="tx1"/>
            </w14:solidFill>
          </w14:textFill>
        </w:rPr>
      </w:pPr>
    </w:p>
    <w:p>
      <w:pPr>
        <w:numPr>
          <w:ilvl w:val="0"/>
          <w:numId w:val="0"/>
        </w:numPr>
        <w:tabs>
          <w:tab w:val="left" w:pos="307"/>
        </w:tabs>
        <w:spacing w:line="255" w:lineRule="auto"/>
        <w:jc w:val="both"/>
        <w:rPr>
          <w:rFonts w:hint="default" w:ascii="Times New Roman" w:hAnsi="Times New Roman" w:cs="Times New Roman"/>
          <w:color w:val="000000" w:themeColor="text1"/>
          <w:sz w:val="22"/>
          <w:szCs w:val="22"/>
          <w14:textFill>
            <w14:solidFill>
              <w14:schemeClr w14:val="tx1"/>
            </w14:solidFill>
          </w14:textFill>
        </w:rPr>
      </w:pPr>
    </w:p>
    <w:p>
      <w:pPr>
        <w:pStyle w:val="6"/>
        <w:spacing w:line="40" w:lineRule="exact"/>
        <w:ind w:left="2202"/>
        <w:rPr>
          <w:rFonts w:ascii="Times New Roman" w:hAnsi="Times New Roman" w:cs="Times New Roman"/>
          <w:sz w:val="20"/>
          <w:szCs w:val="20"/>
        </w:rPr>
      </w:pPr>
      <w:r>
        <w:rPr>
          <w:rFonts w:ascii="Times New Roman" w:hAnsi="Times New Roman" w:cs="Times New Roman"/>
          <w:sz w:val="20"/>
          <w:szCs w:val="20"/>
        </w:rPr>
        <mc:AlternateContent>
          <mc:Choice Requires="wpg">
            <w:drawing>
              <wp:inline distT="0" distB="0" distL="0" distR="0">
                <wp:extent cx="3975735" cy="25400"/>
                <wp:effectExtent l="0" t="0" r="5715" b="3175"/>
                <wp:docPr id="2" name="Group 2"/>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_x0000_s1026"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JRBh1AAAAAMBAAAPAAAAAAAAAAEAIAAAACIA&#10;AABkcnMvZG93bnJldi54bWxQSwECFAAUAAAACACHTuJAUjHfCA0CAAB3BAAADgAAAAAAAAABACAA&#10;AAAjAQAAZHJzL2Uyb0RvYy54bWxQSwUGAAAAAAYABgBZAQAAogUAAAAA&#10;">
                <o:lock v:ext="edit" aspectratio="f"/>
                <v:line id="Line 5" o:spid="_x0000_s1026" o:spt="20" style="position:absolute;left:20;top:20;height:0;width:6221;" filled="f" stroked="t" coordsize="21600,21600" o:gfxdata="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Mt7gugAAANoA&#10;AAAPAAAAAAAAAAEAIAAAACIAAABkcnMvZG93bnJldi54bWxQSwECFAAUAAAACACHTuJAMy8FnjsA&#10;AAA5AAAAEAAAAAAAAAABACAAAAAJAQAAZHJzL3NoYXBleG1sLnhtbFBLBQYAAAAABgAGAFsBAACz&#10;AwAAAAA=&#10;">
                  <v:fill on="f" focussize="0,0"/>
                  <v:stroke weight="2pt" color="#004080" joinstyle="round"/>
                  <v:imagedata o:title=""/>
                  <o:lock v:ext="edit" aspectratio="f"/>
                </v:line>
                <w10:wrap type="none"/>
                <w10:anchorlock/>
              </v:group>
            </w:pict>
          </mc:Fallback>
        </mc:AlternateContent>
      </w:r>
    </w:p>
    <w:p>
      <w:pPr>
        <w:spacing w:before="92"/>
        <w:ind w:right="4234"/>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eastAsia="Times New Roman" w:cs="Times New Roman"/>
          <w:b/>
          <w:bCs/>
          <w:sz w:val="24"/>
          <w:szCs w:val="24"/>
          <w:lang w:val="en-US"/>
        </w:rPr>
        <w:drawing>
          <wp:inline distT="0" distB="0" distL="114300" distR="114300">
            <wp:extent cx="837565" cy="936625"/>
            <wp:effectExtent l="0" t="0" r="635" b="15875"/>
            <wp:docPr id="1" name="Picture 1" descr="new doc 6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 doc 69_1"/>
                    <pic:cNvPicPr>
                      <a:picLocks noChangeAspect="1"/>
                    </pic:cNvPicPr>
                  </pic:nvPicPr>
                  <pic:blipFill>
                    <a:blip r:embed="rId5"/>
                    <a:stretch>
                      <a:fillRect/>
                    </a:stretch>
                  </pic:blipFill>
                  <pic:spPr>
                    <a:xfrm>
                      <a:off x="0" y="0"/>
                      <a:ext cx="837565" cy="936625"/>
                    </a:xfrm>
                    <a:prstGeom prst="rect">
                      <a:avLst/>
                    </a:prstGeom>
                  </pic:spPr>
                </pic:pic>
              </a:graphicData>
            </a:graphic>
          </wp:inline>
        </w:drawing>
      </w:r>
      <w:r>
        <w:rPr>
          <w:rFonts w:ascii="Times New Roman" w:hAnsi="Times New Roman" w:cs="Times New Roman"/>
          <w:sz w:val="20"/>
          <w:szCs w:val="20"/>
        </w:rPr>
        <w:t xml:space="preserve">  </w:t>
      </w:r>
    </w:p>
    <w:p>
      <w:pPr>
        <w:jc w:val="both"/>
        <w:rPr>
          <w:rFonts w:hint="default" w:ascii="Times New Roman" w:hAnsi="Times New Roman" w:cs="Times New Roman"/>
          <w:b/>
        </w:rPr>
      </w:pPr>
      <w:r>
        <w:rPr>
          <w:rFonts w:hint="default" w:ascii="Times New Roman" w:hAnsi="Times New Roman" w:cs="Times New Roman"/>
          <w:b/>
        </w:rPr>
        <w:t>Biography</w:t>
      </w:r>
    </w:p>
    <w:p>
      <w:pPr>
        <w:spacing w:line="0" w:lineRule="atLeast"/>
        <w:ind w:left="4"/>
        <w:jc w:val="both"/>
        <w:rPr>
          <w:rFonts w:hint="default" w:ascii="Times New Roman" w:hAnsi="Times New Roman" w:cs="Times New Roman"/>
          <w:lang w:val="en-US"/>
        </w:rPr>
      </w:pPr>
      <w:r>
        <w:rPr>
          <w:rFonts w:hint="default" w:ascii="Times New Roman" w:hAnsi="Times New Roman" w:cs="Times New Roman"/>
          <w:lang w:val="en-US"/>
        </w:rPr>
        <w:t>Mr. Shanabhoga M B</w:t>
      </w:r>
      <w:r>
        <w:rPr>
          <w:rFonts w:hint="default" w:ascii="Times New Roman" w:hAnsi="Times New Roman" w:cs="Times New Roman"/>
        </w:rPr>
        <w:t xml:space="preserve"> has completed his </w:t>
      </w:r>
      <w:r>
        <w:rPr>
          <w:rFonts w:hint="default" w:ascii="Times New Roman" w:hAnsi="Times New Roman" w:cs="Times New Roman"/>
          <w:lang w:val="en-US"/>
        </w:rPr>
        <w:t>Masters in Agriculture</w:t>
      </w:r>
      <w:r>
        <w:rPr>
          <w:rFonts w:hint="default" w:ascii="Times New Roman" w:hAnsi="Times New Roman" w:cs="Times New Roman"/>
        </w:rPr>
        <w:t xml:space="preserve"> at the age of 2</w:t>
      </w:r>
      <w:r>
        <w:rPr>
          <w:rFonts w:hint="default" w:ascii="Times New Roman" w:hAnsi="Times New Roman" w:cs="Times New Roman"/>
          <w:lang w:val="en-US"/>
        </w:rPr>
        <w:t>2</w:t>
      </w:r>
      <w:r>
        <w:rPr>
          <w:rFonts w:hint="default" w:ascii="Times New Roman" w:hAnsi="Times New Roman" w:cs="Times New Roman"/>
        </w:rPr>
        <w:t xml:space="preserve"> years from University</w:t>
      </w:r>
      <w:r>
        <w:rPr>
          <w:rFonts w:hint="default" w:ascii="Times New Roman" w:hAnsi="Times New Roman" w:cs="Times New Roman"/>
          <w:lang w:val="en-US"/>
        </w:rPr>
        <w:t xml:space="preserve"> of Agricultural Sciences, GKVK, Bangalore</w:t>
      </w:r>
      <w:r>
        <w:rPr>
          <w:rFonts w:hint="default" w:ascii="Times New Roman" w:hAnsi="Times New Roman" w:cs="Times New Roman"/>
        </w:rPr>
        <w:t xml:space="preserve"> and </w:t>
      </w:r>
      <w:r>
        <w:rPr>
          <w:rFonts w:hint="default" w:ascii="Times New Roman" w:hAnsi="Times New Roman" w:cs="Times New Roman"/>
          <w:lang w:val="en-US"/>
        </w:rPr>
        <w:t xml:space="preserve">currently doing his Ph.D. </w:t>
      </w:r>
      <w:r>
        <w:rPr>
          <w:rFonts w:hint="default" w:ascii="Times New Roman" w:hAnsi="Times New Roman" w:cs="Times New Roman"/>
        </w:rPr>
        <w:t xml:space="preserve">studies </w:t>
      </w:r>
      <w:r>
        <w:rPr>
          <w:rFonts w:hint="default" w:ascii="Times New Roman" w:hAnsi="Times New Roman" w:cs="Times New Roman"/>
          <w:lang w:val="en-US"/>
        </w:rPr>
        <w:t xml:space="preserve">in the same </w:t>
      </w:r>
      <w:r>
        <w:rPr>
          <w:rFonts w:hint="default" w:ascii="Times New Roman" w:hAnsi="Times New Roman" w:cs="Times New Roman"/>
        </w:rPr>
        <w:t>University</w:t>
      </w:r>
      <w:r>
        <w:rPr>
          <w:rFonts w:hint="default" w:ascii="Times New Roman" w:hAnsi="Times New Roman" w:cs="Times New Roman"/>
          <w:lang w:val="en-US"/>
        </w:rPr>
        <w:t>.</w:t>
      </w:r>
      <w:r>
        <w:rPr>
          <w:rFonts w:hint="default" w:ascii="Times New Roman" w:hAnsi="Times New Roman" w:cs="Times New Roman"/>
        </w:rPr>
        <w:t xml:space="preserve"> </w:t>
      </w:r>
      <w:r>
        <w:rPr>
          <w:rFonts w:hint="default" w:ascii="Times New Roman" w:hAnsi="Times New Roman" w:cs="Times New Roman"/>
          <w:lang w:val="en-US"/>
        </w:rPr>
        <w:t>He published several papers in various reputed journals. He also attended the several international and national conferences and got Best Oral and Best Poster Presentation Awards. He received various awards from different societies as “Scientist Associate Award” and “Best Researcher Award”.</w:t>
      </w:r>
    </w:p>
    <w:p>
      <w:pPr>
        <w:spacing w:before="62"/>
        <w:ind w:left="4217" w:right="4235"/>
        <w:jc w:val="center"/>
        <w:rPr>
          <w:rFonts w:ascii="Times New Roman" w:hAnsi="Times New Roman" w:cs="Times New Roman"/>
          <w:sz w:val="20"/>
          <w:szCs w:val="20"/>
        </w:rPr>
      </w:pPr>
      <w:r>
        <w:rPr>
          <w:rFonts w:ascii="Times New Roman" w:hAnsi="Times New Roman" w:cs="Times New Roman"/>
          <w:sz w:val="20"/>
          <w:szCs w:val="20"/>
        </w:rPr>
        <w:t>Email:</w:t>
      </w:r>
    </w:p>
    <w:p>
      <w:pPr>
        <w:spacing w:before="62"/>
        <w:ind w:left="4217" w:right="4235"/>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HYPERLINK "mailto:shanabhogamb@gmail.com" </w:instrText>
      </w:r>
      <w:r>
        <w:rPr>
          <w:rFonts w:ascii="Times New Roman" w:hAnsi="Times New Roman" w:cs="Times New Roman"/>
          <w:sz w:val="20"/>
          <w:szCs w:val="20"/>
          <w:lang w:val="en-US"/>
        </w:rPr>
        <w:fldChar w:fldCharType="separate"/>
      </w:r>
      <w:r>
        <w:rPr>
          <w:rStyle w:val="11"/>
          <w:rFonts w:ascii="Times New Roman" w:hAnsi="Times New Roman" w:cs="Times New Roman"/>
          <w:sz w:val="20"/>
          <w:szCs w:val="20"/>
          <w:lang w:val="en-US"/>
        </w:rPr>
        <w:t>shanabhogamb@gmail.com</w:t>
      </w:r>
      <w:r>
        <w:rPr>
          <w:rFonts w:ascii="Times New Roman" w:hAnsi="Times New Roman" w:cs="Times New Roman"/>
          <w:sz w:val="20"/>
          <w:szCs w:val="20"/>
          <w:lang w:val="en-US"/>
        </w:rPr>
        <w:fldChar w:fldCharType="end"/>
      </w:r>
      <w:r>
        <w:rPr>
          <w:rFonts w:ascii="Times New Roman" w:hAnsi="Times New Roman" w:cs="Times New Roman"/>
          <w:sz w:val="20"/>
          <w:szCs w:val="20"/>
          <w:lang w:val="en-US"/>
        </w:rPr>
        <w:t xml:space="preserve"> </w:t>
      </w:r>
    </w:p>
    <w:p>
      <w:pPr>
        <w:pStyle w:val="6"/>
        <w:spacing w:before="2"/>
        <w:rPr>
          <w:rFonts w:ascii="Times New Roman" w:hAnsi="Times New Roman" w:cs="Times New Roman"/>
          <w:sz w:val="20"/>
          <w:szCs w:val="20"/>
        </w:rPr>
      </w:pPr>
      <w:r>
        <w:rPr>
          <w:rFonts w:ascii="Times New Roman" w:hAnsi="Times New Roman" w:cs="Times New Roman"/>
          <w:sz w:val="20"/>
          <w:szCs w:val="20"/>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_x0000_s1026" o:spid="_x0000_s1026" o:spt="20" style="position:absolute;left:0pt;margin-left:162.1pt;margin-top:13.25pt;height:0pt;width:271.05pt;mso-position-horizontal-relative:page;mso-wrap-distance-bottom:0pt;mso-wrap-distance-top:0pt;z-index:251658240;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ilAb9YAAAAJAQAADwAAAAAAAAABACAAAAAiAAAAZHJzL2Rvd25yZXYueG1sUEsBAhQA&#10;FAAAAAgAh07iQA/J3SG7AQAAYQMAAA4AAAAAAAAAAQAgAAAAJQEAAGRycy9lMm9Eb2MueG1sUEsF&#10;BgAAAAAGAAYAWQEAAFIFAAAAAA==&#10;">
                <v:fill on="f" focussize="0,0"/>
                <v:stroke weight="0.5pt" color="#004080" joinstyle="round"/>
                <v:imagedata o:title=""/>
                <o:lock v:ext="edit" aspectratio="f"/>
                <w10:wrap type="topAndBottom"/>
              </v:line>
            </w:pict>
          </mc:Fallback>
        </mc:AlternateContent>
      </w:r>
    </w:p>
    <w:p>
      <w:pPr>
        <w:pStyle w:val="6"/>
        <w:rPr>
          <w:rFonts w:ascii="Times New Roman" w:hAnsi="Times New Roman" w:cs="Times New Roman"/>
          <w:sz w:val="20"/>
          <w:szCs w:val="20"/>
        </w:rPr>
      </w:pPr>
    </w:p>
    <w:p>
      <w:pPr>
        <w:pStyle w:val="6"/>
        <w:rPr>
          <w:rFonts w:ascii="Times New Roman" w:hAnsi="Times New Roman" w:cs="Times New Roman"/>
          <w:sz w:val="20"/>
          <w:szCs w:val="20"/>
        </w:rPr>
      </w:pPr>
    </w:p>
    <w:p>
      <w:pPr>
        <w:pStyle w:val="6"/>
        <w:spacing w:before="7"/>
        <w:rPr>
          <w:rFonts w:ascii="Times New Roman" w:hAnsi="Times New Roman" w:cs="Times New Roman"/>
          <w:sz w:val="20"/>
          <w:szCs w:val="20"/>
        </w:rPr>
      </w:pPr>
    </w:p>
    <w:p>
      <w:pPr>
        <w:spacing w:before="39"/>
        <w:ind w:left="100"/>
        <w:rPr>
          <w:rFonts w:ascii="Times New Roman" w:hAnsi="Times New Roman" w:cs="Times New Roman"/>
          <w:b/>
          <w:sz w:val="20"/>
          <w:szCs w:val="20"/>
        </w:rPr>
        <w:sectPr>
          <w:headerReference r:id="rId3" w:type="default"/>
          <w:type w:val="continuous"/>
          <w:pgSz w:w="11910" w:h="16840"/>
          <w:pgMar w:top="1740" w:right="600" w:bottom="840" w:left="620" w:header="720" w:footer="720" w:gutter="0"/>
          <w:cols w:space="720" w:num="1"/>
        </w:sectPr>
      </w:pPr>
      <w:r>
        <w:rPr>
          <w:rFonts w:ascii="Times New Roman" w:hAnsi="Times New Roman" w:cs="Times New Roman"/>
          <w:b/>
          <w:sz w:val="20"/>
          <w:szCs w:val="20"/>
        </w:rPr>
        <w:t>Notes/Comments</w:t>
      </w:r>
    </w:p>
    <w:p>
      <w:pPr>
        <w:rPr>
          <w:rFonts w:ascii="Times New Roman" w:hAnsi="Times New Roman" w:cs="Times New Roman"/>
          <w:sz w:val="20"/>
          <w:szCs w:val="20"/>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Calibri Light">
    <w:altName w:val="Calibri"/>
    <w:panose1 w:val="020F0302020204030204"/>
    <w:charset w:val="00"/>
    <w:family w:val="swiss"/>
    <w:pitch w:val="default"/>
    <w:sig w:usb0="00000000" w:usb1="00000000" w:usb2="00000009" w:usb3="00000000" w:csb0="0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2FF" w:usb1="420024FF" w:usb2="00000000"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swiss"/>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drawing>
        <wp:inline distT="0" distB="0" distL="0" distR="0">
          <wp:extent cx="6788150" cy="881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895CBF5"/>
    <w:multiLevelType w:val="singleLevel"/>
    <w:tmpl w:val="A895CBF5"/>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evenAndOddHeaders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23D29"/>
    <w:rsid w:val="000C3E81"/>
    <w:rsid w:val="00146DAC"/>
    <w:rsid w:val="0019729E"/>
    <w:rsid w:val="00206FCE"/>
    <w:rsid w:val="00254333"/>
    <w:rsid w:val="00281561"/>
    <w:rsid w:val="002929A4"/>
    <w:rsid w:val="002C43D5"/>
    <w:rsid w:val="00303F0F"/>
    <w:rsid w:val="003C0478"/>
    <w:rsid w:val="00406DAF"/>
    <w:rsid w:val="00477FAA"/>
    <w:rsid w:val="00596D06"/>
    <w:rsid w:val="005C2E3C"/>
    <w:rsid w:val="006B5568"/>
    <w:rsid w:val="007535E3"/>
    <w:rsid w:val="00764295"/>
    <w:rsid w:val="007B1824"/>
    <w:rsid w:val="00851507"/>
    <w:rsid w:val="008C73BB"/>
    <w:rsid w:val="008E1BA9"/>
    <w:rsid w:val="00904D98"/>
    <w:rsid w:val="009B0763"/>
    <w:rsid w:val="009F4CD0"/>
    <w:rsid w:val="00C73A03"/>
    <w:rsid w:val="00CA779B"/>
    <w:rsid w:val="00DB7489"/>
    <w:rsid w:val="00DC76D7"/>
    <w:rsid w:val="00F56533"/>
    <w:rsid w:val="00FE1F7D"/>
    <w:rsid w:val="20D8561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1"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w Cen MT" w:hAnsi="Tw Cen MT" w:eastAsia="Tw Cen MT" w:cs="Tw Cen MT"/>
      <w:sz w:val="22"/>
      <w:szCs w:val="22"/>
      <w:lang w:val="en-US" w:eastAsia="en-US" w:bidi="ar-SA"/>
    </w:rPr>
  </w:style>
  <w:style w:type="paragraph" w:styleId="2">
    <w:name w:val="heading 1"/>
    <w:basedOn w:val="1"/>
    <w:next w:val="1"/>
    <w:link w:val="13"/>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link w:val="17"/>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14"/>
    <w:semiHidden/>
    <w:unhideWhenUsed/>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5">
    <w:name w:val="Balloon Text"/>
    <w:basedOn w:val="1"/>
    <w:link w:val="21"/>
    <w:semiHidden/>
    <w:unhideWhenUsed/>
    <w:uiPriority w:val="99"/>
    <w:rPr>
      <w:rFonts w:ascii="Tahoma" w:hAnsi="Tahoma" w:cs="Tahoma"/>
      <w:sz w:val="16"/>
      <w:szCs w:val="16"/>
    </w:rPr>
  </w:style>
  <w:style w:type="paragraph" w:styleId="6">
    <w:name w:val="Body Text"/>
    <w:basedOn w:val="1"/>
    <w:link w:val="15"/>
    <w:unhideWhenUsed/>
    <w:qFormat/>
    <w:uiPriority w:val="1"/>
    <w:rPr>
      <w:sz w:val="18"/>
      <w:szCs w:val="18"/>
    </w:rPr>
  </w:style>
  <w:style w:type="paragraph" w:styleId="7">
    <w:name w:val="footer"/>
    <w:basedOn w:val="1"/>
    <w:link w:val="20"/>
    <w:unhideWhenUsed/>
    <w:uiPriority w:val="99"/>
    <w:pPr>
      <w:tabs>
        <w:tab w:val="center" w:pos="4513"/>
        <w:tab w:val="right" w:pos="9026"/>
      </w:tabs>
    </w:pPr>
  </w:style>
  <w:style w:type="paragraph" w:styleId="8">
    <w:name w:val="header"/>
    <w:basedOn w:val="1"/>
    <w:link w:val="19"/>
    <w:unhideWhenUsed/>
    <w:uiPriority w:val="99"/>
    <w:pPr>
      <w:tabs>
        <w:tab w:val="center" w:pos="4513"/>
        <w:tab w:val="right" w:pos="9026"/>
      </w:tabs>
    </w:pPr>
  </w:style>
  <w:style w:type="character" w:styleId="10">
    <w:name w:val="Emphasis"/>
    <w:basedOn w:val="9"/>
    <w:qFormat/>
    <w:uiPriority w:val="20"/>
    <w:rPr>
      <w:i/>
      <w:iCs/>
    </w:rPr>
  </w:style>
  <w:style w:type="character" w:styleId="11">
    <w:name w:val="Hyperlink"/>
    <w:basedOn w:val="9"/>
    <w:unhideWhenUsed/>
    <w:uiPriority w:val="99"/>
    <w:rPr>
      <w:color w:val="0563C1" w:themeColor="hyperlink"/>
      <w:u w:val="single"/>
      <w14:textFill>
        <w14:solidFill>
          <w14:schemeClr w14:val="hlink"/>
        </w14:solidFill>
      </w14:textFill>
    </w:rPr>
  </w:style>
  <w:style w:type="character" w:customStyle="1" w:styleId="13">
    <w:name w:val="Heading 1 Char"/>
    <w:basedOn w:val="9"/>
    <w:link w:val="2"/>
    <w:uiPriority w:val="1"/>
    <w:rPr>
      <w:rFonts w:ascii="Minion Pro" w:hAnsi="Minion Pro" w:eastAsia="Minion Pro" w:cs="Minion Pro"/>
      <w:b/>
      <w:bCs/>
      <w:sz w:val="36"/>
      <w:szCs w:val="36"/>
      <w:lang w:val="en-US"/>
    </w:rPr>
  </w:style>
  <w:style w:type="character" w:customStyle="1" w:styleId="14">
    <w:name w:val="Heading 3 Char"/>
    <w:basedOn w:val="9"/>
    <w:link w:val="4"/>
    <w:semiHidden/>
    <w:uiPriority w:val="1"/>
    <w:rPr>
      <w:rFonts w:ascii="Arial" w:hAnsi="Arial" w:eastAsia="Arial" w:cs="Arial"/>
      <w:b/>
      <w:bCs/>
      <w:sz w:val="20"/>
      <w:szCs w:val="20"/>
      <w:lang w:val="en-US"/>
    </w:rPr>
  </w:style>
  <w:style w:type="character" w:customStyle="1" w:styleId="15">
    <w:name w:val="Body Text Char"/>
    <w:basedOn w:val="9"/>
    <w:link w:val="6"/>
    <w:uiPriority w:val="1"/>
    <w:rPr>
      <w:rFonts w:ascii="Tw Cen MT" w:hAnsi="Tw Cen MT" w:eastAsia="Tw Cen MT" w:cs="Tw Cen MT"/>
      <w:sz w:val="18"/>
      <w:szCs w:val="18"/>
      <w:lang w:val="en-US"/>
    </w:rPr>
  </w:style>
  <w:style w:type="paragraph" w:styleId="16">
    <w:name w:val="List Paragraph"/>
    <w:basedOn w:val="1"/>
    <w:qFormat/>
    <w:uiPriority w:val="1"/>
    <w:pPr>
      <w:spacing w:before="90" w:line="200" w:lineRule="exact"/>
      <w:ind w:left="383" w:hanging="283"/>
      <w:jc w:val="both"/>
    </w:pPr>
    <w:rPr>
      <w:rFonts w:ascii="Calibri" w:hAnsi="Calibri" w:eastAsia="Calibri" w:cs="Calibri"/>
    </w:rPr>
  </w:style>
  <w:style w:type="character" w:customStyle="1" w:styleId="17">
    <w:name w:val="Heading 2 Char"/>
    <w:basedOn w:val="9"/>
    <w:link w:val="3"/>
    <w:semiHidden/>
    <w:uiPriority w:val="9"/>
    <w:rPr>
      <w:rFonts w:asciiTheme="majorHAnsi" w:hAnsiTheme="majorHAnsi" w:eastAsiaTheme="majorEastAsia" w:cstheme="majorBidi"/>
      <w:color w:val="2F5597" w:themeColor="accent1" w:themeShade="BF"/>
      <w:sz w:val="26"/>
      <w:szCs w:val="26"/>
      <w:lang w:val="en-US"/>
    </w:rPr>
  </w:style>
  <w:style w:type="character" w:customStyle="1" w:styleId="18">
    <w:name w:val="Unresolved Mention"/>
    <w:basedOn w:val="9"/>
    <w:semiHidden/>
    <w:unhideWhenUsed/>
    <w:uiPriority w:val="99"/>
    <w:rPr>
      <w:color w:val="808080"/>
      <w:shd w:val="clear" w:color="auto" w:fill="E6E6E6"/>
    </w:rPr>
  </w:style>
  <w:style w:type="character" w:customStyle="1" w:styleId="19">
    <w:name w:val="Header Char"/>
    <w:basedOn w:val="9"/>
    <w:link w:val="8"/>
    <w:uiPriority w:val="99"/>
    <w:rPr>
      <w:rFonts w:ascii="Tw Cen MT" w:hAnsi="Tw Cen MT" w:eastAsia="Tw Cen MT" w:cs="Tw Cen MT"/>
      <w:lang w:val="en-US"/>
    </w:rPr>
  </w:style>
  <w:style w:type="character" w:customStyle="1" w:styleId="20">
    <w:name w:val="Footer Char"/>
    <w:basedOn w:val="9"/>
    <w:link w:val="7"/>
    <w:uiPriority w:val="99"/>
    <w:rPr>
      <w:rFonts w:ascii="Tw Cen MT" w:hAnsi="Tw Cen MT" w:eastAsia="Tw Cen MT" w:cs="Tw Cen MT"/>
      <w:lang w:val="en-US"/>
    </w:rPr>
  </w:style>
  <w:style w:type="character" w:customStyle="1" w:styleId="21">
    <w:name w:val="Balloon Text Char"/>
    <w:basedOn w:val="9"/>
    <w:link w:val="5"/>
    <w:semiHidden/>
    <w:uiPriority w:val="99"/>
    <w:rPr>
      <w:rFonts w:ascii="Tahoma" w:hAnsi="Tahoma" w:eastAsia="Tw Cen MT" w:cs="Tahoma"/>
      <w:sz w:val="16"/>
      <w:szCs w:val="16"/>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344</Words>
  <Characters>1961</Characters>
  <Lines>16</Lines>
  <Paragraphs>4</Paragraphs>
  <TotalTime>2</TotalTime>
  <ScaleCrop>false</ScaleCrop>
  <LinksUpToDate>false</LinksUpToDate>
  <CharactersWithSpaces>2301</CharactersWithSpaces>
  <Application>WPS Office_10.2.0.7456_F1E327BC-269C-435d-A152-05C5408002CA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2017-10-23T08:08:00Z</dcterms:created>
  <dc:creator>OMGDLP-198</dc:creator>
  <cp:lastModifiedBy>Dr.Krishnamurthy</cp:lastModifiedBy>
  <dcterms:modified xsi:type="dcterms:W3CDTF">2018-09-27T06:28:57Z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1033-10.2.0.7456</vt:lpwstr>
  </property>
</Properties>
</file>