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AC888" w14:textId="77777777" w:rsidR="00AE3E37" w:rsidRPr="00DA145A" w:rsidRDefault="00BB6E6A" w:rsidP="00494130">
      <w:pPr>
        <w:pStyle w:val="Heading1"/>
        <w:spacing w:before="170"/>
        <w:ind w:left="0"/>
        <w:rPr>
          <w:sz w:val="34"/>
          <w:szCs w:val="34"/>
        </w:rPr>
      </w:pPr>
      <w:r w:rsidRPr="00DA145A">
        <w:rPr>
          <w:color w:val="337AB7"/>
          <w:sz w:val="34"/>
          <w:szCs w:val="34"/>
        </w:rPr>
        <w:t xml:space="preserve">Critical appraisal of evidence-based clinical practice guidelines for management of women with postpartum hemorrhage using the AGREE II instrument </w:t>
      </w:r>
    </w:p>
    <w:p w14:paraId="291BFC6C" w14:textId="77777777" w:rsidR="00C205F6" w:rsidRDefault="00C205F6" w:rsidP="003679A0">
      <w:pPr>
        <w:pStyle w:val="BodyText"/>
        <w:ind w:left="101" w:right="5990"/>
        <w:jc w:val="both"/>
        <w:rPr>
          <w:rFonts w:ascii="Arial"/>
          <w:b/>
          <w:bCs/>
          <w:sz w:val="16"/>
          <w:szCs w:val="16"/>
        </w:rPr>
      </w:pPr>
    </w:p>
    <w:p w14:paraId="31AF8E2E" w14:textId="3120B972" w:rsidR="00DA145A" w:rsidRPr="005B7F50" w:rsidRDefault="00BB6E6A" w:rsidP="003679A0">
      <w:pPr>
        <w:pStyle w:val="BodyText"/>
        <w:ind w:left="101" w:right="5990"/>
        <w:jc w:val="both"/>
        <w:rPr>
          <w:rFonts w:ascii="Arial"/>
          <w:sz w:val="20"/>
          <w:szCs w:val="20"/>
        </w:rPr>
      </w:pPr>
      <w:r w:rsidRPr="005B7F50">
        <w:rPr>
          <w:rFonts w:ascii="Arial"/>
          <w:b/>
          <w:bCs/>
          <w:sz w:val="20"/>
          <w:szCs w:val="20"/>
        </w:rPr>
        <w:t xml:space="preserve">Dr. Sahar </w:t>
      </w:r>
      <w:proofErr w:type="spellStart"/>
      <w:r w:rsidRPr="005B7F50">
        <w:rPr>
          <w:rFonts w:ascii="Arial"/>
          <w:b/>
          <w:bCs/>
          <w:sz w:val="20"/>
          <w:szCs w:val="20"/>
        </w:rPr>
        <w:t>Abdulghani</w:t>
      </w:r>
      <w:proofErr w:type="spellEnd"/>
      <w:r w:rsidR="00DA145A" w:rsidRPr="005B7F50">
        <w:rPr>
          <w:rFonts w:ascii="Arial"/>
          <w:sz w:val="20"/>
          <w:szCs w:val="20"/>
        </w:rPr>
        <w:t>*</w:t>
      </w:r>
      <w:r w:rsidR="005973B9" w:rsidRPr="005B7F50">
        <w:rPr>
          <w:rFonts w:ascii="Arial"/>
          <w:sz w:val="20"/>
          <w:szCs w:val="20"/>
        </w:rPr>
        <w:t xml:space="preserve">, </w:t>
      </w:r>
      <w:r w:rsidR="00DA145A" w:rsidRPr="005B7F50">
        <w:rPr>
          <w:rFonts w:ascii="Arial"/>
          <w:sz w:val="20"/>
          <w:szCs w:val="20"/>
        </w:rPr>
        <w:t xml:space="preserve">Dr. Khalid </w:t>
      </w:r>
      <w:proofErr w:type="spellStart"/>
      <w:r w:rsidR="00DA145A" w:rsidRPr="005B7F50">
        <w:rPr>
          <w:rFonts w:ascii="Arial"/>
          <w:sz w:val="20"/>
          <w:szCs w:val="20"/>
        </w:rPr>
        <w:t>Akkour</w:t>
      </w:r>
      <w:proofErr w:type="spellEnd"/>
      <w:r w:rsidR="00DA145A" w:rsidRPr="005B7F50">
        <w:rPr>
          <w:rFonts w:ascii="Arial"/>
          <w:sz w:val="20"/>
          <w:szCs w:val="20"/>
        </w:rPr>
        <w:t xml:space="preserve">, Dr. </w:t>
      </w:r>
      <w:proofErr w:type="spellStart"/>
      <w:r w:rsidR="00DA145A" w:rsidRPr="005B7F50">
        <w:rPr>
          <w:rFonts w:ascii="Arial"/>
          <w:sz w:val="20"/>
          <w:szCs w:val="20"/>
        </w:rPr>
        <w:t>Lateefa</w:t>
      </w:r>
      <w:proofErr w:type="spellEnd"/>
      <w:r w:rsidR="00DA145A" w:rsidRPr="005B7F50">
        <w:rPr>
          <w:rFonts w:ascii="Arial"/>
          <w:sz w:val="20"/>
          <w:szCs w:val="20"/>
        </w:rPr>
        <w:t xml:space="preserve"> Al-</w:t>
      </w:r>
      <w:proofErr w:type="spellStart"/>
      <w:r w:rsidR="00DA145A" w:rsidRPr="005B7F50">
        <w:rPr>
          <w:rFonts w:ascii="Arial"/>
          <w:sz w:val="20"/>
          <w:szCs w:val="20"/>
        </w:rPr>
        <w:t>Dakheyl</w:t>
      </w:r>
      <w:proofErr w:type="spellEnd"/>
      <w:r w:rsidR="00DA145A" w:rsidRPr="005B7F50">
        <w:rPr>
          <w:rFonts w:ascii="Arial"/>
          <w:sz w:val="20"/>
          <w:szCs w:val="20"/>
        </w:rPr>
        <w:t xml:space="preserve">, </w:t>
      </w:r>
      <w:r w:rsidR="00C205F6" w:rsidRPr="005B7F50">
        <w:rPr>
          <w:rFonts w:ascii="Arial"/>
          <w:sz w:val="20"/>
          <w:szCs w:val="20"/>
        </w:rPr>
        <w:t xml:space="preserve">Dr. </w:t>
      </w:r>
      <w:proofErr w:type="spellStart"/>
      <w:r w:rsidR="00C205F6" w:rsidRPr="005B7F50">
        <w:rPr>
          <w:rFonts w:ascii="Arial"/>
          <w:sz w:val="20"/>
          <w:szCs w:val="20"/>
        </w:rPr>
        <w:t>Neama</w:t>
      </w:r>
      <w:proofErr w:type="spellEnd"/>
      <w:r w:rsidR="00C205F6" w:rsidRPr="005B7F50">
        <w:rPr>
          <w:rFonts w:ascii="Arial"/>
          <w:sz w:val="20"/>
          <w:szCs w:val="20"/>
        </w:rPr>
        <w:t xml:space="preserve"> </w:t>
      </w:r>
      <w:proofErr w:type="spellStart"/>
      <w:r w:rsidR="00C205F6" w:rsidRPr="005B7F50">
        <w:rPr>
          <w:rFonts w:ascii="Arial"/>
          <w:sz w:val="20"/>
          <w:szCs w:val="20"/>
        </w:rPr>
        <w:t>Meriki</w:t>
      </w:r>
      <w:proofErr w:type="spellEnd"/>
      <w:r w:rsidR="00C205F6" w:rsidRPr="005B7F50">
        <w:rPr>
          <w:rFonts w:ascii="Arial"/>
          <w:sz w:val="20"/>
          <w:szCs w:val="20"/>
        </w:rPr>
        <w:t xml:space="preserve">, </w:t>
      </w:r>
      <w:r w:rsidR="00CE7644">
        <w:rPr>
          <w:rFonts w:ascii="Arial"/>
          <w:sz w:val="20"/>
          <w:szCs w:val="20"/>
        </w:rPr>
        <w:t xml:space="preserve">Dr. </w:t>
      </w:r>
      <w:proofErr w:type="spellStart"/>
      <w:r w:rsidR="00CE7644">
        <w:rPr>
          <w:rFonts w:ascii="Arial"/>
          <w:sz w:val="20"/>
          <w:szCs w:val="20"/>
        </w:rPr>
        <w:t>Khurram</w:t>
      </w:r>
      <w:proofErr w:type="spellEnd"/>
      <w:r w:rsidR="00CE7644">
        <w:rPr>
          <w:rFonts w:ascii="Arial"/>
          <w:sz w:val="20"/>
          <w:szCs w:val="20"/>
        </w:rPr>
        <w:t xml:space="preserve"> </w:t>
      </w:r>
      <w:proofErr w:type="spellStart"/>
      <w:r w:rsidR="00CE7644">
        <w:rPr>
          <w:rFonts w:ascii="Arial"/>
          <w:sz w:val="20"/>
          <w:szCs w:val="20"/>
        </w:rPr>
        <w:t>Bhatti</w:t>
      </w:r>
      <w:proofErr w:type="spellEnd"/>
      <w:r w:rsidR="00CE7644">
        <w:rPr>
          <w:rFonts w:ascii="Arial"/>
          <w:sz w:val="20"/>
          <w:szCs w:val="20"/>
        </w:rPr>
        <w:t xml:space="preserve">, </w:t>
      </w:r>
      <w:r w:rsidR="00C205F6" w:rsidRPr="005B7F50">
        <w:rPr>
          <w:rFonts w:ascii="Arial"/>
          <w:sz w:val="20"/>
          <w:szCs w:val="20"/>
        </w:rPr>
        <w:t xml:space="preserve">and Dr. Yasser </w:t>
      </w:r>
      <w:proofErr w:type="spellStart"/>
      <w:r w:rsidR="00C205F6" w:rsidRPr="005B7F50">
        <w:rPr>
          <w:rFonts w:ascii="Arial"/>
          <w:sz w:val="20"/>
          <w:szCs w:val="20"/>
        </w:rPr>
        <w:t>Amer</w:t>
      </w:r>
      <w:proofErr w:type="spellEnd"/>
      <w:r w:rsidR="00C205F6" w:rsidRPr="005B7F50">
        <w:rPr>
          <w:rFonts w:ascii="Arial"/>
          <w:sz w:val="20"/>
          <w:szCs w:val="20"/>
        </w:rPr>
        <w:t xml:space="preserve">, </w:t>
      </w:r>
      <w:r w:rsidR="00DA145A" w:rsidRPr="005B7F50">
        <w:rPr>
          <w:rFonts w:ascii="Arial"/>
          <w:sz w:val="20"/>
          <w:szCs w:val="20"/>
        </w:rPr>
        <w:t>Obstetrics and Gynecology</w:t>
      </w:r>
      <w:r w:rsidR="003679A0" w:rsidRPr="005B7F50">
        <w:rPr>
          <w:rFonts w:ascii="Arial"/>
          <w:sz w:val="20"/>
          <w:szCs w:val="20"/>
        </w:rPr>
        <w:t xml:space="preserve"> Department &amp; </w:t>
      </w:r>
      <w:r w:rsidR="00DA145A" w:rsidRPr="005B7F50">
        <w:rPr>
          <w:rFonts w:ascii="Arial"/>
          <w:sz w:val="20"/>
          <w:szCs w:val="20"/>
        </w:rPr>
        <w:t>Quality Management Department, University Medical City,</w:t>
      </w:r>
      <w:r w:rsidRPr="005B7F50">
        <w:rPr>
          <w:rFonts w:ascii="Arial"/>
          <w:sz w:val="20"/>
          <w:szCs w:val="20"/>
        </w:rPr>
        <w:t xml:space="preserve"> King Saud University, </w:t>
      </w:r>
      <w:r w:rsidR="00DA145A" w:rsidRPr="005B7F50">
        <w:rPr>
          <w:rFonts w:ascii="Arial"/>
          <w:sz w:val="20"/>
          <w:szCs w:val="20"/>
        </w:rPr>
        <w:t xml:space="preserve">Riyadh, </w:t>
      </w:r>
      <w:r w:rsidRPr="005B7F50">
        <w:rPr>
          <w:rFonts w:ascii="Arial"/>
          <w:sz w:val="20"/>
          <w:szCs w:val="20"/>
        </w:rPr>
        <w:t>Saudi Arabia</w:t>
      </w:r>
    </w:p>
    <w:p w14:paraId="36EE5779" w14:textId="77777777" w:rsidR="00AE3E37" w:rsidRPr="005B7F50" w:rsidRDefault="00DA145A" w:rsidP="00DA145A">
      <w:pPr>
        <w:pStyle w:val="BodyText"/>
        <w:ind w:left="101" w:right="5990"/>
        <w:rPr>
          <w:rFonts w:ascii="Arial"/>
          <w:b/>
          <w:bCs/>
          <w:i/>
          <w:iCs/>
          <w:sz w:val="20"/>
          <w:szCs w:val="20"/>
        </w:rPr>
      </w:pPr>
      <w:r w:rsidRPr="005B7F50">
        <w:rPr>
          <w:rFonts w:ascii="Arial"/>
          <w:b/>
          <w:bCs/>
          <w:i/>
          <w:iCs/>
          <w:sz w:val="20"/>
          <w:szCs w:val="20"/>
        </w:rPr>
        <w:t xml:space="preserve">*Presenter </w:t>
      </w:r>
      <w:r w:rsidR="005973B9" w:rsidRPr="005B7F50">
        <w:rPr>
          <w:rFonts w:ascii="Arial"/>
          <w:b/>
          <w:bCs/>
          <w:i/>
          <w:iCs/>
          <w:sz w:val="20"/>
          <w:szCs w:val="20"/>
        </w:rPr>
        <w:t xml:space="preserve"> </w:t>
      </w:r>
    </w:p>
    <w:p w14:paraId="709E91D9"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E4E2A52" w14:textId="77777777" w:rsidR="00AE3E37" w:rsidRDefault="00BB6E6A">
      <w:pPr>
        <w:pStyle w:val="Heading3"/>
        <w:spacing w:before="147"/>
        <w:jc w:val="both"/>
      </w:pPr>
      <w:r>
        <w:rPr>
          <w:noProof/>
        </w:rPr>
        <w:lastRenderedPageBreak/>
        <w:drawing>
          <wp:anchor distT="0" distB="0" distL="114300" distR="114300" simplePos="0" relativeHeight="251658240" behindDoc="0" locked="0" layoutInCell="1" allowOverlap="1" wp14:anchorId="17D551C6" wp14:editId="6DAEDC94">
            <wp:simplePos x="0" y="0"/>
            <wp:positionH relativeFrom="column">
              <wp:posOffset>3397250</wp:posOffset>
            </wp:positionH>
            <wp:positionV relativeFrom="paragraph">
              <wp:posOffset>196215</wp:posOffset>
            </wp:positionV>
            <wp:extent cx="3321050" cy="17145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12638" t="24824" r="15446" b="42828"/>
                    <a:stretch/>
                  </pic:blipFill>
                  <pic:spPr bwMode="auto">
                    <a:xfrm>
                      <a:off x="0" y="0"/>
                      <a:ext cx="3321050" cy="17145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9710C">
        <w:rPr>
          <w:color w:val="BF5A14"/>
        </w:rPr>
        <w:t>Abstract</w:t>
      </w:r>
      <w:r w:rsidR="00404E5B">
        <w:rPr>
          <w:color w:val="BF5A14"/>
        </w:rPr>
        <w:t xml:space="preserve"> (300 word limit)</w:t>
      </w:r>
    </w:p>
    <w:p w14:paraId="67BA4243" w14:textId="61A07D46" w:rsidR="00AE3E37" w:rsidRPr="005B7F50" w:rsidRDefault="00A9710C" w:rsidP="005E68AA">
      <w:pPr>
        <w:autoSpaceDE w:val="0"/>
        <w:autoSpaceDN w:val="0"/>
        <w:adjustRightInd w:val="0"/>
        <w:spacing w:after="240" w:line="280" w:lineRule="atLeast"/>
        <w:rPr>
          <w:sz w:val="20"/>
          <w:szCs w:val="20"/>
        </w:rPr>
      </w:pPr>
      <w:r w:rsidRPr="005B7F50">
        <w:rPr>
          <w:b/>
          <w:bCs/>
          <w:sz w:val="20"/>
          <w:szCs w:val="20"/>
        </w:rPr>
        <w:t>Statement of the Problem:</w:t>
      </w:r>
      <w:r w:rsidRPr="005B7F50">
        <w:rPr>
          <w:sz w:val="20"/>
          <w:szCs w:val="20"/>
        </w:rPr>
        <w:t xml:space="preserve"> </w:t>
      </w:r>
      <w:r w:rsidR="00BB6E6A" w:rsidRPr="005B7F50">
        <w:rPr>
          <w:sz w:val="20"/>
          <w:szCs w:val="20"/>
        </w:rPr>
        <w:t>Clinical practice guidelines (CPGs)</w:t>
      </w:r>
      <w:r w:rsidR="00DA145A" w:rsidRPr="005B7F50">
        <w:rPr>
          <w:sz w:val="20"/>
          <w:szCs w:val="20"/>
        </w:rPr>
        <w:t xml:space="preserve"> are based on</w:t>
      </w:r>
      <w:r w:rsidR="00BB6E6A" w:rsidRPr="005B7F50">
        <w:rPr>
          <w:sz w:val="20"/>
          <w:szCs w:val="20"/>
        </w:rPr>
        <w:t xml:space="preserve"> best possible scientific evidence, expert op</w:t>
      </w:r>
      <w:r w:rsidR="00AB3C44" w:rsidRPr="005B7F50">
        <w:rPr>
          <w:sz w:val="20"/>
          <w:szCs w:val="20"/>
        </w:rPr>
        <w:t>inion and patient preferences</w:t>
      </w:r>
      <w:r w:rsidR="00BB6E6A" w:rsidRPr="005B7F50">
        <w:rPr>
          <w:sz w:val="20"/>
          <w:szCs w:val="20"/>
        </w:rPr>
        <w:t xml:space="preserve">. </w:t>
      </w:r>
      <w:r w:rsidR="005E68AA" w:rsidRPr="005E68AA">
        <w:rPr>
          <w:sz w:val="20"/>
          <w:szCs w:val="20"/>
        </w:rPr>
        <w:t>Postpartum hemorrhage (PPH) has a continuously rising incidenc</w:t>
      </w:r>
      <w:r w:rsidR="005E68AA" w:rsidRPr="00D82438">
        <w:rPr>
          <w:sz w:val="20"/>
          <w:szCs w:val="20"/>
        </w:rPr>
        <w:t xml:space="preserve">e </w:t>
      </w:r>
      <w:r w:rsidR="005E68AA">
        <w:rPr>
          <w:sz w:val="20"/>
          <w:szCs w:val="20"/>
        </w:rPr>
        <w:t xml:space="preserve">worldwide and </w:t>
      </w:r>
      <w:r w:rsidR="00BB6E6A" w:rsidRPr="005B7F50">
        <w:rPr>
          <w:sz w:val="20"/>
          <w:szCs w:val="20"/>
        </w:rPr>
        <w:t xml:space="preserve">remains one of the major causes of maternal death in both developed and developing countries. </w:t>
      </w:r>
      <w:r w:rsidR="005E68AA">
        <w:rPr>
          <w:sz w:val="20"/>
          <w:szCs w:val="20"/>
        </w:rPr>
        <w:t>R</w:t>
      </w:r>
      <w:r w:rsidR="005E68AA" w:rsidRPr="005E68AA">
        <w:rPr>
          <w:sz w:val="20"/>
          <w:szCs w:val="20"/>
        </w:rPr>
        <w:t>ecent data suggest that rates of obstetric hemorrhage are increasing in developed countries, including the United States, and that rates of hemorrhage-associated severe maternal morbidity exceed the morbidities associated with other obstetric and medical conditions.</w:t>
      </w:r>
      <w:r w:rsidR="005E68AA">
        <w:rPr>
          <w:sz w:val="20"/>
          <w:szCs w:val="20"/>
        </w:rPr>
        <w:t xml:space="preserve"> </w:t>
      </w:r>
      <w:r w:rsidR="00AB3C44" w:rsidRPr="005B7F50">
        <w:rPr>
          <w:sz w:val="20"/>
          <w:szCs w:val="20"/>
        </w:rPr>
        <w:t>Approximately 30</w:t>
      </w:r>
      <w:r w:rsidR="00BB6E6A" w:rsidRPr="005B7F50">
        <w:rPr>
          <w:sz w:val="20"/>
          <w:szCs w:val="20"/>
        </w:rPr>
        <w:t xml:space="preserve">% in some countries </w:t>
      </w:r>
      <w:r w:rsidR="00DA145A" w:rsidRPr="005B7F50">
        <w:rPr>
          <w:sz w:val="20"/>
          <w:szCs w:val="20"/>
        </w:rPr>
        <w:t xml:space="preserve">and </w:t>
      </w:r>
      <w:r w:rsidR="00BB6E6A" w:rsidRPr="005B7F50">
        <w:rPr>
          <w:sz w:val="20"/>
          <w:szCs w:val="20"/>
        </w:rPr>
        <w:t>over 50 % of direct maternal death worldwide are due to hemorrhage. Primary Postpartum hemorrhage (PPH) is defined as excessive bleeding in the first 24 hours post birth, a blood loss of 500 ml after vaginal birth and a blood loss o</w:t>
      </w:r>
      <w:r w:rsidR="00AB3C44" w:rsidRPr="005B7F50">
        <w:rPr>
          <w:sz w:val="20"/>
          <w:szCs w:val="20"/>
        </w:rPr>
        <w:t>f 1000ml after CS</w:t>
      </w:r>
      <w:r w:rsidR="00BB6E6A" w:rsidRPr="005B7F50">
        <w:rPr>
          <w:sz w:val="20"/>
          <w:szCs w:val="20"/>
        </w:rPr>
        <w:t>. Secondary PPH is abnormal bleeding from the birth canal between 24 hours and 12 weeks postnatal. Most cases of PPH have no iden</w:t>
      </w:r>
      <w:r w:rsidR="00DA145A" w:rsidRPr="005B7F50">
        <w:rPr>
          <w:sz w:val="20"/>
          <w:szCs w:val="20"/>
        </w:rPr>
        <w:t>tifiable risk factors therefore</w:t>
      </w:r>
      <w:r w:rsidR="00BB6E6A" w:rsidRPr="005B7F50">
        <w:rPr>
          <w:sz w:val="20"/>
          <w:szCs w:val="20"/>
        </w:rPr>
        <w:t xml:space="preserve"> early recog</w:t>
      </w:r>
      <w:r w:rsidR="00DA145A" w:rsidRPr="005B7F50">
        <w:rPr>
          <w:sz w:val="20"/>
          <w:szCs w:val="20"/>
        </w:rPr>
        <w:t>nition of hemorrhage is crucial</w:t>
      </w:r>
      <w:r w:rsidR="00BB6E6A" w:rsidRPr="005B7F50">
        <w:rPr>
          <w:sz w:val="20"/>
          <w:szCs w:val="20"/>
        </w:rPr>
        <w:t>.</w:t>
      </w:r>
      <w:r w:rsidR="00AB3C44" w:rsidRPr="005B7F50">
        <w:rPr>
          <w:sz w:val="20"/>
          <w:szCs w:val="20"/>
        </w:rPr>
        <w:t xml:space="preserve"> Recommendations in CPGs</w:t>
      </w:r>
      <w:r w:rsidR="00BB6E6A" w:rsidRPr="005B7F50">
        <w:rPr>
          <w:sz w:val="20"/>
          <w:szCs w:val="20"/>
        </w:rPr>
        <w:t xml:space="preserve"> focus</w:t>
      </w:r>
      <w:r w:rsidR="00AB3C44" w:rsidRPr="005B7F50">
        <w:rPr>
          <w:sz w:val="20"/>
          <w:szCs w:val="20"/>
        </w:rPr>
        <w:t xml:space="preserve"> on basic clinical skills, prompt recognition of severity of</w:t>
      </w:r>
      <w:r w:rsidR="00BB6E6A" w:rsidRPr="005B7F50">
        <w:rPr>
          <w:sz w:val="20"/>
          <w:szCs w:val="20"/>
        </w:rPr>
        <w:t xml:space="preserve"> hemorrhage and emphasize c</w:t>
      </w:r>
      <w:r w:rsidR="00DA145A" w:rsidRPr="005B7F50">
        <w:rPr>
          <w:sz w:val="20"/>
          <w:szCs w:val="20"/>
        </w:rPr>
        <w:t>ommunication and teamwork</w:t>
      </w:r>
      <w:r w:rsidR="00BB6E6A" w:rsidRPr="005B7F50">
        <w:rPr>
          <w:sz w:val="20"/>
          <w:szCs w:val="20"/>
        </w:rPr>
        <w:t>.</w:t>
      </w:r>
      <w:r w:rsidR="00AB3C44" w:rsidRPr="005B7F50">
        <w:rPr>
          <w:sz w:val="20"/>
          <w:szCs w:val="20"/>
        </w:rPr>
        <w:t xml:space="preserve"> </w:t>
      </w:r>
      <w:r w:rsidRPr="005B7F50">
        <w:rPr>
          <w:b/>
          <w:bCs/>
          <w:sz w:val="20"/>
          <w:szCs w:val="20"/>
        </w:rPr>
        <w:t>Methodolog</w:t>
      </w:r>
      <w:r w:rsidR="0078738A" w:rsidRPr="005B7F50">
        <w:rPr>
          <w:b/>
          <w:bCs/>
          <w:sz w:val="20"/>
          <w:szCs w:val="20"/>
        </w:rPr>
        <w:t>y &amp; Theoretical Orientation:</w:t>
      </w:r>
      <w:r w:rsidR="0078738A" w:rsidRPr="005B7F50">
        <w:rPr>
          <w:sz w:val="20"/>
          <w:szCs w:val="20"/>
        </w:rPr>
        <w:t xml:space="preserve"> </w:t>
      </w:r>
      <w:r w:rsidR="00BB6E6A" w:rsidRPr="005B7F50">
        <w:rPr>
          <w:sz w:val="20"/>
          <w:szCs w:val="20"/>
        </w:rPr>
        <w:t xml:space="preserve">A systematic </w:t>
      </w:r>
      <w:r w:rsidR="00AB3C44" w:rsidRPr="005B7F50">
        <w:rPr>
          <w:sz w:val="20"/>
          <w:szCs w:val="20"/>
        </w:rPr>
        <w:t xml:space="preserve">review of </w:t>
      </w:r>
      <w:r w:rsidR="00BB6E6A" w:rsidRPr="005B7F50">
        <w:rPr>
          <w:sz w:val="20"/>
          <w:szCs w:val="20"/>
        </w:rPr>
        <w:t xml:space="preserve">eligible </w:t>
      </w:r>
      <w:r w:rsidR="00AB3C44" w:rsidRPr="005B7F50">
        <w:rPr>
          <w:sz w:val="20"/>
          <w:szCs w:val="20"/>
        </w:rPr>
        <w:t>PPH CPGs was conducted using the AGREE II</w:t>
      </w:r>
      <w:r w:rsidR="00BB6E6A" w:rsidRPr="005B7F50">
        <w:rPr>
          <w:sz w:val="20"/>
          <w:szCs w:val="20"/>
        </w:rPr>
        <w:t xml:space="preserve"> Instrument. The review panel included five consultant obstetricians and a CPG methodologist. </w:t>
      </w:r>
      <w:r w:rsidRPr="005B7F50">
        <w:rPr>
          <w:b/>
          <w:bCs/>
          <w:sz w:val="20"/>
          <w:szCs w:val="20"/>
        </w:rPr>
        <w:t>Findings:</w:t>
      </w:r>
      <w:r w:rsidRPr="005B7F50">
        <w:rPr>
          <w:sz w:val="20"/>
          <w:szCs w:val="20"/>
        </w:rPr>
        <w:t xml:space="preserve"> </w:t>
      </w:r>
      <w:r w:rsidR="00BB6E6A" w:rsidRPr="005B7F50">
        <w:rPr>
          <w:sz w:val="20"/>
          <w:szCs w:val="20"/>
        </w:rPr>
        <w:t xml:space="preserve">Five PPH CPGs were eligible for our review ACOG, NSW, Queensland, RANZCOG, and RCOG). </w:t>
      </w:r>
      <w:r w:rsidR="00DA145A" w:rsidRPr="005B7F50">
        <w:rPr>
          <w:sz w:val="20"/>
          <w:szCs w:val="20"/>
        </w:rPr>
        <w:t>Cut-</w:t>
      </w:r>
      <w:r w:rsidR="00BB6E6A" w:rsidRPr="005B7F50">
        <w:rPr>
          <w:sz w:val="20"/>
          <w:szCs w:val="20"/>
        </w:rPr>
        <w:t xml:space="preserve">off point for </w:t>
      </w:r>
      <w:proofErr w:type="gramStart"/>
      <w:r w:rsidR="00BB6E6A" w:rsidRPr="005B7F50">
        <w:rPr>
          <w:sz w:val="20"/>
          <w:szCs w:val="20"/>
        </w:rPr>
        <w:t>domain standardized</w:t>
      </w:r>
      <w:proofErr w:type="gramEnd"/>
      <w:r w:rsidR="00BB6E6A" w:rsidRPr="005B7F50">
        <w:rPr>
          <w:sz w:val="20"/>
          <w:szCs w:val="20"/>
        </w:rPr>
        <w:t xml:space="preserve"> scores were 80%. Most </w:t>
      </w:r>
      <w:r w:rsidR="00DA145A" w:rsidRPr="005B7F50">
        <w:rPr>
          <w:sz w:val="20"/>
          <w:szCs w:val="20"/>
        </w:rPr>
        <w:t>included CPGs scored high in</w:t>
      </w:r>
      <w:r w:rsidR="00BB6E6A" w:rsidRPr="005B7F50">
        <w:rPr>
          <w:sz w:val="20"/>
          <w:szCs w:val="20"/>
        </w:rPr>
        <w:t xml:space="preserve"> clarity of presentation</w:t>
      </w:r>
      <w:r w:rsidRPr="005B7F50">
        <w:rPr>
          <w:sz w:val="20"/>
          <w:szCs w:val="20"/>
        </w:rPr>
        <w:t>.</w:t>
      </w:r>
      <w:r w:rsidR="00BB6E6A" w:rsidRPr="005B7F50">
        <w:rPr>
          <w:sz w:val="20"/>
          <w:szCs w:val="20"/>
        </w:rPr>
        <w:t xml:space="preserve"> </w:t>
      </w:r>
      <w:proofErr w:type="gramStart"/>
      <w:r w:rsidR="00BB6E6A" w:rsidRPr="005B7F50">
        <w:rPr>
          <w:sz w:val="20"/>
          <w:szCs w:val="20"/>
        </w:rPr>
        <w:t>Three CPGs scored &gt;80% in scope and purpose (ACOG, NSW, RCOG).</w:t>
      </w:r>
      <w:proofErr w:type="gramEnd"/>
      <w:r w:rsidR="00BB6E6A" w:rsidRPr="005B7F50">
        <w:rPr>
          <w:sz w:val="20"/>
          <w:szCs w:val="20"/>
        </w:rPr>
        <w:t xml:space="preserve"> RCOG was superior in all domains </w:t>
      </w:r>
      <w:r w:rsidR="00DA145A" w:rsidRPr="005B7F50">
        <w:rPr>
          <w:sz w:val="20"/>
          <w:szCs w:val="20"/>
        </w:rPr>
        <w:t>including</w:t>
      </w:r>
      <w:r w:rsidR="00BB6E6A" w:rsidRPr="005B7F50">
        <w:rPr>
          <w:sz w:val="20"/>
          <w:szCs w:val="20"/>
        </w:rPr>
        <w:t xml:space="preserve"> Rigor of development (89%) </w:t>
      </w:r>
      <w:r w:rsidR="00DA145A" w:rsidRPr="005B7F50">
        <w:rPr>
          <w:sz w:val="20"/>
          <w:szCs w:val="20"/>
        </w:rPr>
        <w:t>except</w:t>
      </w:r>
      <w:r w:rsidR="00BB6E6A" w:rsidRPr="005B7F50">
        <w:rPr>
          <w:sz w:val="20"/>
          <w:szCs w:val="20"/>
        </w:rPr>
        <w:t xml:space="preserve"> editorial independence domain (60%). The </w:t>
      </w:r>
      <w:r w:rsidR="00AB3C44" w:rsidRPr="005B7F50">
        <w:rPr>
          <w:sz w:val="20"/>
          <w:szCs w:val="20"/>
        </w:rPr>
        <w:t>top three</w:t>
      </w:r>
      <w:r w:rsidR="00BB6E6A" w:rsidRPr="005B7F50">
        <w:rPr>
          <w:sz w:val="20"/>
          <w:szCs w:val="20"/>
        </w:rPr>
        <w:t xml:space="preserve"> CPGs in </w:t>
      </w:r>
      <w:r w:rsidR="00AB3C44" w:rsidRPr="005B7F50">
        <w:rPr>
          <w:sz w:val="20"/>
          <w:szCs w:val="20"/>
        </w:rPr>
        <w:t>applicability domain</w:t>
      </w:r>
      <w:r w:rsidR="00BB6E6A" w:rsidRPr="005B7F50">
        <w:rPr>
          <w:sz w:val="20"/>
          <w:szCs w:val="20"/>
        </w:rPr>
        <w:t xml:space="preserve"> were </w:t>
      </w:r>
      <w:r w:rsidR="00AB3C44" w:rsidRPr="005B7F50">
        <w:rPr>
          <w:sz w:val="20"/>
          <w:szCs w:val="20"/>
        </w:rPr>
        <w:t>RCOG (52%), Queensland (50%), and ACOG</w:t>
      </w:r>
      <w:r w:rsidR="00DA145A" w:rsidRPr="005B7F50">
        <w:rPr>
          <w:sz w:val="20"/>
          <w:szCs w:val="20"/>
        </w:rPr>
        <w:t xml:space="preserve"> (49%). RCOG was superior in</w:t>
      </w:r>
      <w:r w:rsidR="00AB3C44" w:rsidRPr="005B7F50">
        <w:rPr>
          <w:sz w:val="20"/>
          <w:szCs w:val="20"/>
        </w:rPr>
        <w:t xml:space="preserve"> overall </w:t>
      </w:r>
      <w:r w:rsidR="00DA145A" w:rsidRPr="005B7F50">
        <w:rPr>
          <w:sz w:val="20"/>
          <w:szCs w:val="20"/>
        </w:rPr>
        <w:t>assessment and</w:t>
      </w:r>
      <w:r w:rsidR="00AB3C44" w:rsidRPr="005B7F50">
        <w:rPr>
          <w:sz w:val="20"/>
          <w:szCs w:val="20"/>
        </w:rPr>
        <w:t xml:space="preserve"> recommendation for use in practice by all reviewers. </w:t>
      </w:r>
      <w:r w:rsidRPr="005B7F50">
        <w:rPr>
          <w:b/>
          <w:bCs/>
          <w:sz w:val="20"/>
          <w:szCs w:val="20"/>
        </w:rPr>
        <w:t>Conclusion &amp; Significance:</w:t>
      </w:r>
      <w:r w:rsidRPr="005B7F50">
        <w:rPr>
          <w:sz w:val="20"/>
          <w:szCs w:val="20"/>
        </w:rPr>
        <w:t xml:space="preserve"> </w:t>
      </w:r>
      <w:r w:rsidR="00AB3C44" w:rsidRPr="005B7F50">
        <w:rPr>
          <w:sz w:val="20"/>
          <w:szCs w:val="20"/>
        </w:rPr>
        <w:t xml:space="preserve">PPH CPGs quality assessment varied across all the six domains of AGREE II, demonstrating the importance of using a formal CPG appraisal tool prior to selection of a CPG for implementation in </w:t>
      </w:r>
      <w:r w:rsidR="00F076FF" w:rsidRPr="005B7F50">
        <w:rPr>
          <w:sz w:val="20"/>
          <w:szCs w:val="20"/>
        </w:rPr>
        <w:t xml:space="preserve">routine </w:t>
      </w:r>
      <w:r w:rsidR="00AB3C44" w:rsidRPr="005B7F50">
        <w:rPr>
          <w:sz w:val="20"/>
          <w:szCs w:val="20"/>
        </w:rPr>
        <w:t>daily practice by obstetricians</w:t>
      </w:r>
      <w:r w:rsidR="00F076FF" w:rsidRPr="005B7F50">
        <w:rPr>
          <w:sz w:val="20"/>
          <w:szCs w:val="20"/>
        </w:rPr>
        <w:t xml:space="preserve"> for women with PPH</w:t>
      </w:r>
      <w:r w:rsidR="00AB3C44" w:rsidRPr="005B7F50">
        <w:rPr>
          <w:sz w:val="20"/>
          <w:szCs w:val="20"/>
        </w:rPr>
        <w:t>.</w:t>
      </w:r>
    </w:p>
    <w:p w14:paraId="6F8CE033" w14:textId="77777777" w:rsidR="00AE3E37" w:rsidRPr="00DA145A" w:rsidRDefault="00A9710C" w:rsidP="00DA145A">
      <w:pPr>
        <w:pStyle w:val="Heading3"/>
        <w:spacing w:before="74"/>
      </w:pPr>
      <w:r w:rsidRPr="005B7F50">
        <w:rPr>
          <w:b w:val="0"/>
        </w:rPr>
        <w:lastRenderedPageBreak/>
        <w:br w:type="column"/>
      </w:r>
      <w:r>
        <w:rPr>
          <w:color w:val="BF5A14"/>
        </w:rPr>
        <w:lastRenderedPageBreak/>
        <w:t>Image</w:t>
      </w:r>
    </w:p>
    <w:p w14:paraId="0A81F8E5" w14:textId="77777777" w:rsidR="005973B9" w:rsidRPr="00DA145A" w:rsidRDefault="005973B9" w:rsidP="005973B9">
      <w:pPr>
        <w:spacing w:line="204" w:lineRule="exact"/>
        <w:rPr>
          <w:rFonts w:ascii="Arial"/>
          <w:b/>
          <w:sz w:val="18"/>
          <w:szCs w:val="20"/>
        </w:rPr>
      </w:pPr>
      <w:r>
        <w:rPr>
          <w:rFonts w:ascii="Arial"/>
          <w:b/>
          <w:color w:val="BF5A14"/>
          <w:sz w:val="20"/>
        </w:rPr>
        <w:br/>
      </w:r>
      <w:r w:rsidRPr="00DA145A">
        <w:rPr>
          <w:rFonts w:ascii="Arial"/>
          <w:b/>
          <w:color w:val="BF5A14"/>
          <w:sz w:val="18"/>
          <w:szCs w:val="20"/>
        </w:rPr>
        <w:t>Recent Publications (minimum 5)</w:t>
      </w:r>
    </w:p>
    <w:p w14:paraId="3736201D" w14:textId="77777777" w:rsidR="005973B9" w:rsidRPr="005B7F50" w:rsidRDefault="00DA145A" w:rsidP="00F076FF">
      <w:pPr>
        <w:pStyle w:val="ListParagraph"/>
        <w:numPr>
          <w:ilvl w:val="0"/>
          <w:numId w:val="3"/>
        </w:numPr>
        <w:tabs>
          <w:tab w:val="left" w:pos="384"/>
        </w:tabs>
        <w:spacing w:line="240" w:lineRule="auto"/>
        <w:ind w:right="137"/>
        <w:rPr>
          <w:sz w:val="20"/>
          <w:szCs w:val="20"/>
        </w:rPr>
      </w:pPr>
      <w:proofErr w:type="spellStart"/>
      <w:r w:rsidRPr="005B7F50">
        <w:rPr>
          <w:sz w:val="20"/>
          <w:szCs w:val="20"/>
        </w:rPr>
        <w:t>Brouwers</w:t>
      </w:r>
      <w:proofErr w:type="spellEnd"/>
      <w:r w:rsidRPr="005B7F50">
        <w:rPr>
          <w:sz w:val="20"/>
          <w:szCs w:val="20"/>
        </w:rPr>
        <w:t xml:space="preserve"> M, </w:t>
      </w:r>
      <w:proofErr w:type="spellStart"/>
      <w:r w:rsidRPr="005B7F50">
        <w:rPr>
          <w:sz w:val="20"/>
          <w:szCs w:val="20"/>
        </w:rPr>
        <w:t>Kerkvliet</w:t>
      </w:r>
      <w:proofErr w:type="spellEnd"/>
      <w:r w:rsidRPr="005B7F50">
        <w:rPr>
          <w:sz w:val="20"/>
          <w:szCs w:val="20"/>
        </w:rPr>
        <w:t xml:space="preserve"> K, </w:t>
      </w:r>
      <w:proofErr w:type="spellStart"/>
      <w:r w:rsidRPr="005B7F50">
        <w:rPr>
          <w:sz w:val="20"/>
          <w:szCs w:val="20"/>
        </w:rPr>
        <w:t>Spithoff</w:t>
      </w:r>
      <w:proofErr w:type="spellEnd"/>
      <w:r w:rsidRPr="005B7F50">
        <w:rPr>
          <w:sz w:val="20"/>
          <w:szCs w:val="20"/>
        </w:rPr>
        <w:t xml:space="preserve"> K. The AGREE Reporting Checklist: a tool to improve reporting of clinical practice guidelines. BMJ. 2016</w:t>
      </w:r>
      <w:proofErr w:type="gramStart"/>
      <w:r w:rsidRPr="005B7F50">
        <w:rPr>
          <w:sz w:val="20"/>
          <w:szCs w:val="20"/>
        </w:rPr>
        <w:t>;:</w:t>
      </w:r>
      <w:proofErr w:type="gramEnd"/>
      <w:r w:rsidRPr="005B7F50">
        <w:rPr>
          <w:sz w:val="20"/>
          <w:szCs w:val="20"/>
        </w:rPr>
        <w:t xml:space="preserve">i1152. </w:t>
      </w:r>
      <w:proofErr w:type="gramStart"/>
      <w:r w:rsidRPr="005B7F50">
        <w:rPr>
          <w:sz w:val="20"/>
          <w:szCs w:val="20"/>
        </w:rPr>
        <w:t>pmid:26957104</w:t>
      </w:r>
      <w:r w:rsidR="005973B9" w:rsidRPr="005B7F50">
        <w:rPr>
          <w:sz w:val="20"/>
          <w:szCs w:val="20"/>
        </w:rPr>
        <w:t>Heilig</w:t>
      </w:r>
      <w:proofErr w:type="gramEnd"/>
      <w:r w:rsidR="005973B9" w:rsidRPr="005B7F50">
        <w:rPr>
          <w:sz w:val="20"/>
          <w:szCs w:val="20"/>
        </w:rPr>
        <w:t xml:space="preserve"> M, </w:t>
      </w:r>
      <w:proofErr w:type="spellStart"/>
      <w:r w:rsidR="005973B9" w:rsidRPr="005B7F50">
        <w:rPr>
          <w:sz w:val="20"/>
          <w:szCs w:val="20"/>
        </w:rPr>
        <w:t>Egli</w:t>
      </w:r>
      <w:proofErr w:type="spellEnd"/>
      <w:r w:rsidR="005973B9" w:rsidRPr="005B7F50">
        <w:rPr>
          <w:sz w:val="20"/>
          <w:szCs w:val="20"/>
        </w:rPr>
        <w:t xml:space="preserve"> M (2006) Pharmacological treatment of alcohol dependence: </w:t>
      </w:r>
      <w:r w:rsidR="005973B9" w:rsidRPr="005B7F50">
        <w:rPr>
          <w:spacing w:val="-4"/>
          <w:sz w:val="20"/>
          <w:szCs w:val="20"/>
        </w:rPr>
        <w:t xml:space="preserve">Target </w:t>
      </w:r>
      <w:r w:rsidR="005973B9" w:rsidRPr="005B7F50">
        <w:rPr>
          <w:sz w:val="20"/>
          <w:szCs w:val="20"/>
        </w:rPr>
        <w:t>symptoms and target mechanisms. Pharmacology and therapeutics 111:855-876.</w:t>
      </w:r>
    </w:p>
    <w:p w14:paraId="327AD7D8" w14:textId="77777777" w:rsidR="00DA145A" w:rsidRPr="005B7F50" w:rsidRDefault="00DA145A" w:rsidP="00F076FF">
      <w:pPr>
        <w:pStyle w:val="ListParagraph"/>
        <w:numPr>
          <w:ilvl w:val="0"/>
          <w:numId w:val="3"/>
        </w:numPr>
        <w:tabs>
          <w:tab w:val="left" w:pos="384"/>
        </w:tabs>
        <w:spacing w:line="240" w:lineRule="auto"/>
        <w:ind w:right="137"/>
        <w:rPr>
          <w:sz w:val="20"/>
          <w:szCs w:val="20"/>
        </w:rPr>
      </w:pPr>
      <w:r w:rsidRPr="005B7F50">
        <w:rPr>
          <w:sz w:val="20"/>
          <w:szCs w:val="20"/>
        </w:rPr>
        <w:t xml:space="preserve">Amer YS, </w:t>
      </w:r>
      <w:proofErr w:type="spellStart"/>
      <w:r w:rsidRPr="005B7F50">
        <w:rPr>
          <w:sz w:val="20"/>
          <w:szCs w:val="20"/>
        </w:rPr>
        <w:t>Wahabi</w:t>
      </w:r>
      <w:proofErr w:type="spellEnd"/>
      <w:r w:rsidRPr="005B7F50">
        <w:rPr>
          <w:sz w:val="20"/>
          <w:szCs w:val="20"/>
        </w:rPr>
        <w:t xml:space="preserve"> HA, </w:t>
      </w:r>
      <w:proofErr w:type="spellStart"/>
      <w:r w:rsidRPr="005B7F50">
        <w:rPr>
          <w:sz w:val="20"/>
          <w:szCs w:val="20"/>
        </w:rPr>
        <w:t>Abou</w:t>
      </w:r>
      <w:proofErr w:type="spellEnd"/>
      <w:r w:rsidRPr="005B7F50">
        <w:rPr>
          <w:sz w:val="20"/>
          <w:szCs w:val="20"/>
        </w:rPr>
        <w:t xml:space="preserve"> </w:t>
      </w:r>
      <w:proofErr w:type="spellStart"/>
      <w:r w:rsidRPr="005B7F50">
        <w:rPr>
          <w:sz w:val="20"/>
          <w:szCs w:val="20"/>
        </w:rPr>
        <w:t>Elkheir</w:t>
      </w:r>
      <w:proofErr w:type="spellEnd"/>
      <w:r w:rsidRPr="005B7F50">
        <w:rPr>
          <w:sz w:val="20"/>
          <w:szCs w:val="20"/>
        </w:rPr>
        <w:t xml:space="preserve"> MM, et al. Adapting evidence‐based clinical practice guidelines at university teaching hospitals: A model for the Eastern Mediterranean Region. J </w:t>
      </w:r>
      <w:proofErr w:type="spellStart"/>
      <w:r w:rsidRPr="005B7F50">
        <w:rPr>
          <w:sz w:val="20"/>
          <w:szCs w:val="20"/>
        </w:rPr>
        <w:t>Eval</w:t>
      </w:r>
      <w:proofErr w:type="spellEnd"/>
      <w:r w:rsidRPr="005B7F50">
        <w:rPr>
          <w:sz w:val="20"/>
          <w:szCs w:val="20"/>
        </w:rPr>
        <w:t xml:space="preserve"> </w:t>
      </w:r>
      <w:proofErr w:type="spellStart"/>
      <w:r w:rsidRPr="005B7F50">
        <w:rPr>
          <w:sz w:val="20"/>
          <w:szCs w:val="20"/>
        </w:rPr>
        <w:t>Clin</w:t>
      </w:r>
      <w:proofErr w:type="spellEnd"/>
      <w:r w:rsidRPr="005B7F50">
        <w:rPr>
          <w:sz w:val="20"/>
          <w:szCs w:val="20"/>
        </w:rPr>
        <w:t xml:space="preserve"> </w:t>
      </w:r>
      <w:proofErr w:type="spellStart"/>
      <w:r w:rsidRPr="005B7F50">
        <w:rPr>
          <w:sz w:val="20"/>
          <w:szCs w:val="20"/>
        </w:rPr>
        <w:t>Pract</w:t>
      </w:r>
      <w:proofErr w:type="spellEnd"/>
      <w:r w:rsidRPr="005B7F50">
        <w:rPr>
          <w:sz w:val="20"/>
          <w:szCs w:val="20"/>
        </w:rPr>
        <w:t xml:space="preserve">. 2019; 25: 550– 560. </w:t>
      </w:r>
      <w:hyperlink r:id="rId11" w:history="1">
        <w:r w:rsidRPr="005B7F50">
          <w:rPr>
            <w:rStyle w:val="Hyperlink"/>
            <w:sz w:val="20"/>
            <w:szCs w:val="20"/>
          </w:rPr>
          <w:t>https://doi.org/10.1111/jep.12927</w:t>
        </w:r>
      </w:hyperlink>
    </w:p>
    <w:p w14:paraId="2DB7551C" w14:textId="77777777" w:rsidR="00DA145A" w:rsidRPr="005B7F50" w:rsidRDefault="00DA145A" w:rsidP="00F076FF">
      <w:pPr>
        <w:pStyle w:val="ListParagraph"/>
        <w:numPr>
          <w:ilvl w:val="0"/>
          <w:numId w:val="3"/>
        </w:numPr>
        <w:tabs>
          <w:tab w:val="left" w:pos="384"/>
        </w:tabs>
        <w:spacing w:line="240" w:lineRule="auto"/>
        <w:ind w:right="137"/>
        <w:rPr>
          <w:sz w:val="20"/>
          <w:szCs w:val="20"/>
        </w:rPr>
      </w:pPr>
      <w:r w:rsidRPr="005B7F50">
        <w:rPr>
          <w:sz w:val="20"/>
          <w:szCs w:val="20"/>
        </w:rPr>
        <w:t xml:space="preserve">Postpartum </w:t>
      </w:r>
      <w:proofErr w:type="spellStart"/>
      <w:r w:rsidRPr="005B7F50">
        <w:rPr>
          <w:sz w:val="20"/>
          <w:szCs w:val="20"/>
        </w:rPr>
        <w:t>Haemorrhage</w:t>
      </w:r>
      <w:proofErr w:type="spellEnd"/>
      <w:r w:rsidRPr="005B7F50">
        <w:rPr>
          <w:sz w:val="20"/>
          <w:szCs w:val="20"/>
        </w:rPr>
        <w:t xml:space="preserve">, Prevention and Management (Green-top Guideline No. 52) [Internet]. Royal College of Obstetricians &amp;amp; </w:t>
      </w:r>
      <w:proofErr w:type="spellStart"/>
      <w:r w:rsidRPr="005B7F50">
        <w:rPr>
          <w:sz w:val="20"/>
          <w:szCs w:val="20"/>
        </w:rPr>
        <w:t>Gynaecologists</w:t>
      </w:r>
      <w:proofErr w:type="spellEnd"/>
      <w:r w:rsidRPr="005B7F50">
        <w:rPr>
          <w:sz w:val="20"/>
          <w:szCs w:val="20"/>
        </w:rPr>
        <w:t xml:space="preserve">. 2019 [cited 31 </w:t>
      </w:r>
      <w:r w:rsidRPr="005B7F50">
        <w:rPr>
          <w:sz w:val="20"/>
          <w:szCs w:val="20"/>
        </w:rPr>
        <w:lastRenderedPageBreak/>
        <w:t xml:space="preserve">December 2019]. Available from: </w:t>
      </w:r>
      <w:hyperlink r:id="rId12" w:history="1">
        <w:r w:rsidRPr="005B7F50">
          <w:rPr>
            <w:rStyle w:val="Hyperlink"/>
            <w:sz w:val="20"/>
            <w:szCs w:val="20"/>
          </w:rPr>
          <w:t>https://www.rcog.org.uk/en/guidelines-research-services/guidelines/gtg52/</w:t>
        </w:r>
      </w:hyperlink>
      <w:r w:rsidRPr="005B7F50">
        <w:rPr>
          <w:sz w:val="20"/>
          <w:szCs w:val="20"/>
        </w:rPr>
        <w:t xml:space="preserve"> </w:t>
      </w:r>
    </w:p>
    <w:p w14:paraId="6D48CC44" w14:textId="77777777" w:rsidR="00AE3E37" w:rsidRPr="005B7F50" w:rsidRDefault="00F076FF" w:rsidP="00F076FF">
      <w:pPr>
        <w:pStyle w:val="ListParagraph"/>
        <w:numPr>
          <w:ilvl w:val="0"/>
          <w:numId w:val="3"/>
        </w:numPr>
        <w:tabs>
          <w:tab w:val="left" w:pos="384"/>
        </w:tabs>
        <w:spacing w:line="240" w:lineRule="auto"/>
        <w:ind w:right="137"/>
        <w:rPr>
          <w:sz w:val="20"/>
          <w:szCs w:val="20"/>
        </w:rPr>
      </w:pPr>
      <w:r w:rsidRPr="005B7F50">
        <w:rPr>
          <w:sz w:val="20"/>
          <w:szCs w:val="20"/>
        </w:rPr>
        <w:t xml:space="preserve">Novo A, </w:t>
      </w:r>
      <w:proofErr w:type="spellStart"/>
      <w:r w:rsidRPr="005B7F50">
        <w:rPr>
          <w:sz w:val="20"/>
          <w:szCs w:val="20"/>
        </w:rPr>
        <w:t>Subotic-Popovic</w:t>
      </w:r>
      <w:proofErr w:type="spellEnd"/>
      <w:r w:rsidRPr="005B7F50">
        <w:rPr>
          <w:sz w:val="20"/>
          <w:szCs w:val="20"/>
        </w:rPr>
        <w:t xml:space="preserve"> A, </w:t>
      </w:r>
      <w:proofErr w:type="spellStart"/>
      <w:r w:rsidRPr="005B7F50">
        <w:rPr>
          <w:sz w:val="20"/>
          <w:szCs w:val="20"/>
        </w:rPr>
        <w:t>Strbac</w:t>
      </w:r>
      <w:proofErr w:type="spellEnd"/>
      <w:r w:rsidRPr="005B7F50">
        <w:rPr>
          <w:sz w:val="20"/>
          <w:szCs w:val="20"/>
        </w:rPr>
        <w:t xml:space="preserve"> S, </w:t>
      </w:r>
      <w:proofErr w:type="spellStart"/>
      <w:r w:rsidRPr="005B7F50">
        <w:rPr>
          <w:sz w:val="20"/>
          <w:szCs w:val="20"/>
        </w:rPr>
        <w:t>Kandic</w:t>
      </w:r>
      <w:proofErr w:type="spellEnd"/>
      <w:r w:rsidRPr="005B7F50">
        <w:rPr>
          <w:sz w:val="20"/>
          <w:szCs w:val="20"/>
        </w:rPr>
        <w:t xml:space="preserve"> A, </w:t>
      </w:r>
      <w:proofErr w:type="spellStart"/>
      <w:r w:rsidRPr="005B7F50">
        <w:rPr>
          <w:sz w:val="20"/>
          <w:szCs w:val="20"/>
        </w:rPr>
        <w:t>Horga</w:t>
      </w:r>
      <w:proofErr w:type="spellEnd"/>
      <w:r w:rsidRPr="005B7F50">
        <w:rPr>
          <w:sz w:val="20"/>
          <w:szCs w:val="20"/>
        </w:rPr>
        <w:t xml:space="preserve"> M. Application of Agree II Instrument for Appraisal of Postpartum Hemorrhage Clinical Practice Guidelines in Bosnia and Herzegovina. </w:t>
      </w:r>
      <w:proofErr w:type="spellStart"/>
      <w:r w:rsidRPr="005B7F50">
        <w:rPr>
          <w:sz w:val="20"/>
          <w:szCs w:val="20"/>
        </w:rPr>
        <w:t>Acta</w:t>
      </w:r>
      <w:proofErr w:type="spellEnd"/>
      <w:r w:rsidRPr="005B7F50">
        <w:rPr>
          <w:sz w:val="20"/>
          <w:szCs w:val="20"/>
        </w:rPr>
        <w:t xml:space="preserve"> Inform Med. 2016</w:t>
      </w:r>
      <w:proofErr w:type="gramStart"/>
      <w:r w:rsidRPr="005B7F50">
        <w:rPr>
          <w:sz w:val="20"/>
          <w:szCs w:val="20"/>
        </w:rPr>
        <w:t>;24</w:t>
      </w:r>
      <w:proofErr w:type="gramEnd"/>
      <w:r w:rsidRPr="005B7F50">
        <w:rPr>
          <w:sz w:val="20"/>
          <w:szCs w:val="20"/>
        </w:rPr>
        <w:t xml:space="preserve">(3):211–214. </w:t>
      </w:r>
      <w:proofErr w:type="gramStart"/>
      <w:r w:rsidRPr="005B7F50">
        <w:rPr>
          <w:sz w:val="20"/>
          <w:szCs w:val="20"/>
        </w:rPr>
        <w:t>doi:10.5455</w:t>
      </w:r>
      <w:proofErr w:type="gramEnd"/>
      <w:r w:rsidRPr="005B7F50">
        <w:rPr>
          <w:sz w:val="20"/>
          <w:szCs w:val="20"/>
        </w:rPr>
        <w:t xml:space="preserve">/aim.2016.24.211-214 </w:t>
      </w:r>
    </w:p>
    <w:p w14:paraId="6BC489E6" w14:textId="2B22DE3F" w:rsidR="00AA6FD8" w:rsidRPr="005B7F50" w:rsidRDefault="00AA6FD8" w:rsidP="00AA6FD8">
      <w:pPr>
        <w:pStyle w:val="ListParagraph"/>
        <w:numPr>
          <w:ilvl w:val="0"/>
          <w:numId w:val="3"/>
        </w:numPr>
        <w:tabs>
          <w:tab w:val="left" w:pos="384"/>
        </w:tabs>
        <w:spacing w:line="240" w:lineRule="auto"/>
        <w:ind w:right="137"/>
        <w:rPr>
          <w:sz w:val="20"/>
          <w:szCs w:val="20"/>
        </w:rPr>
      </w:pPr>
      <w:r w:rsidRPr="005B7F50">
        <w:rPr>
          <w:sz w:val="20"/>
          <w:szCs w:val="20"/>
        </w:rPr>
        <w:t xml:space="preserve">WOISKI, M. D., VAN VUGT, H. C., DIJKMAN, A., GROL, R. P., MARCUS, A., MIDDELDORP, J. M., MOL, B. W., MOLS, F., OUDIJK, M. A., PORATH, M., SCHEEPERS, H. J. AND HERMENS, R. P. From Postpartum </w:t>
      </w:r>
      <w:proofErr w:type="spellStart"/>
      <w:r w:rsidRPr="005B7F50">
        <w:rPr>
          <w:sz w:val="20"/>
          <w:szCs w:val="20"/>
        </w:rPr>
        <w:t>Haemorrhage</w:t>
      </w:r>
      <w:proofErr w:type="spellEnd"/>
      <w:r w:rsidRPr="005B7F50">
        <w:rPr>
          <w:sz w:val="20"/>
          <w:szCs w:val="20"/>
        </w:rPr>
        <w:t xml:space="preserve"> Guideline to Local Protocol: A Study of Protocol </w:t>
      </w:r>
      <w:proofErr w:type="spellStart"/>
      <w:r w:rsidRPr="005B7F50">
        <w:rPr>
          <w:sz w:val="20"/>
          <w:szCs w:val="20"/>
        </w:rPr>
        <w:t>Quality</w:t>
      </w:r>
      <w:r w:rsidRPr="001F2928">
        <w:rPr>
          <w:sz w:val="20"/>
          <w:szCs w:val="20"/>
        </w:rPr>
        <w:t>n</w:t>
      </w:r>
      <w:proofErr w:type="spellEnd"/>
      <w:r w:rsidRPr="001F2928">
        <w:rPr>
          <w:sz w:val="20"/>
          <w:szCs w:val="20"/>
        </w:rPr>
        <w:t>-text:</w:t>
      </w:r>
      <w:r w:rsidRPr="005B7F50">
        <w:rPr>
          <w:sz w:val="20"/>
          <w:szCs w:val="20"/>
        </w:rPr>
        <w:t> (</w:t>
      </w:r>
      <w:proofErr w:type="spellStart"/>
      <w:r w:rsidRPr="005B7F50">
        <w:rPr>
          <w:sz w:val="20"/>
          <w:szCs w:val="20"/>
        </w:rPr>
        <w:t>Woiski</w:t>
      </w:r>
      <w:proofErr w:type="spellEnd"/>
      <w:r w:rsidRPr="005B7F50">
        <w:rPr>
          <w:sz w:val="20"/>
          <w:szCs w:val="20"/>
        </w:rPr>
        <w:t xml:space="preserve"> et al., 2016)</w:t>
      </w:r>
    </w:p>
    <w:p w14:paraId="1CD13648" w14:textId="17AEE20D" w:rsidR="00F076FF" w:rsidRPr="005B7F50" w:rsidRDefault="00AA6FD8" w:rsidP="00AA6FD8">
      <w:pPr>
        <w:pStyle w:val="NormalWeb"/>
        <w:shd w:val="clear" w:color="auto" w:fill="D5E1F2"/>
        <w:spacing w:before="0" w:beforeAutospacing="0" w:after="0" w:afterAutospacing="0" w:line="360" w:lineRule="atLeast"/>
        <w:ind w:hanging="120"/>
      </w:pPr>
      <w:r w:rsidRPr="005B7F50">
        <w:rPr>
          <w:rFonts w:ascii="Calibri" w:eastAsia="Calibri" w:hAnsi="Calibri" w:cs="Calibri"/>
        </w:rPr>
        <w:t xml:space="preserve"> </w:t>
      </w:r>
    </w:p>
    <w:p w14:paraId="211C191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185FBBE" w14:textId="77777777" w:rsidR="005B7F50" w:rsidRDefault="00D62425">
      <w:pPr>
        <w:pStyle w:val="BodyText"/>
        <w:rPr>
          <w:rFonts w:ascii="Calibri"/>
          <w:sz w:val="20"/>
        </w:rPr>
      </w:pPr>
      <w:r>
        <w:rPr>
          <w:rFonts w:ascii="Calibri"/>
          <w:sz w:val="20"/>
        </w:rPr>
        <w:lastRenderedPageBreak/>
        <w:t xml:space="preserve">                </w:t>
      </w:r>
    </w:p>
    <w:p w14:paraId="4DFB2BEC" w14:textId="7323E939" w:rsidR="00AE3E37" w:rsidRPr="00B53386" w:rsidRDefault="00D62425" w:rsidP="00B53386">
      <w:pPr>
        <w:pStyle w:val="BodyText"/>
        <w:jc w:val="center"/>
        <w:rPr>
          <w:rFonts w:ascii="Calibri"/>
          <w:sz w:val="20"/>
        </w:rPr>
      </w:pPr>
      <w:bookmarkStart w:id="0" w:name="_GoBack"/>
      <w:bookmarkEnd w:id="0"/>
      <w:r w:rsidRPr="005B7F50">
        <w:rPr>
          <w:rFonts w:ascii="Calibri"/>
          <w:b/>
          <w:sz w:val="24"/>
          <w:szCs w:val="24"/>
        </w:rPr>
        <w:t>Photograph</w:t>
      </w:r>
    </w:p>
    <w:p w14:paraId="37D0C8CA" w14:textId="77777777" w:rsidR="00AE3E37" w:rsidRPr="00DA145A" w:rsidRDefault="00292ED9">
      <w:pPr>
        <w:pStyle w:val="BodyText"/>
        <w:spacing w:line="40" w:lineRule="exact"/>
        <w:ind w:left="2202"/>
        <w:rPr>
          <w:rFonts w:ascii="Calibri"/>
          <w:sz w:val="4"/>
          <w:highlight w:val="yellow"/>
        </w:rPr>
      </w:pPr>
      <w:r w:rsidRPr="00DA145A">
        <w:rPr>
          <w:rFonts w:ascii="Calibri"/>
          <w:noProof/>
          <w:sz w:val="4"/>
          <w:highlight w:val="yellow"/>
        </w:rPr>
        <mc:AlternateContent>
          <mc:Choice Requires="wpg">
            <w:drawing>
              <wp:inline distT="0" distB="0" distL="0" distR="0" wp14:anchorId="68510B8B" wp14:editId="0834B9C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w15="http://schemas.microsoft.com/office/word/2012/wordml" xmlns:w16se="http://schemas.microsoft.com/office/word/2015/wordml/symex">
            <w:pict>
              <v:group w14:anchorId="6D9AE14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8AB655E" w14:textId="77777777" w:rsidR="00541800" w:rsidRDefault="00541800" w:rsidP="00404E5B">
      <w:pPr>
        <w:spacing w:before="92"/>
        <w:ind w:right="4234"/>
        <w:rPr>
          <w:noProof/>
        </w:rPr>
      </w:pPr>
    </w:p>
    <w:p w14:paraId="5FB3AEDE" w14:textId="2CD23A27" w:rsidR="00C205F6" w:rsidRDefault="005B7F50" w:rsidP="00404E5B">
      <w:pPr>
        <w:spacing w:before="92"/>
        <w:ind w:right="4234"/>
        <w:rPr>
          <w:noProof/>
          <w:highlight w:val="yellow"/>
        </w:rPr>
      </w:pPr>
      <w:r>
        <w:rPr>
          <w:noProof/>
        </w:rPr>
        <w:drawing>
          <wp:inline distT="0" distB="0" distL="0" distR="0" wp14:anchorId="4A2138D5" wp14:editId="3127737B">
            <wp:extent cx="2080895" cy="2593041"/>
            <wp:effectExtent l="152400" t="152400" r="154305" b="175895"/>
            <wp:docPr id="3" name="Picture 3" descr="Macintosh HD:Users:saharabdulghani:Desktop:PHOTO-2019-12-09-14-5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saharabdulghani:Desktop:PHOTO-2019-12-09-14-53-5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84728" cy="259781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BE79482" w14:textId="77777777" w:rsidR="00B53386" w:rsidRDefault="00B53386" w:rsidP="00404E5B">
      <w:pPr>
        <w:spacing w:before="92"/>
        <w:ind w:right="4234"/>
        <w:rPr>
          <w:rFonts w:ascii="Arial"/>
          <w:color w:val="BF5A14"/>
        </w:rPr>
      </w:pPr>
    </w:p>
    <w:p w14:paraId="0B48716A" w14:textId="72F38788" w:rsidR="00AE3E37" w:rsidRPr="00541800" w:rsidRDefault="00A9710C" w:rsidP="00404E5B">
      <w:pPr>
        <w:spacing w:before="92"/>
        <w:ind w:right="4234"/>
        <w:rPr>
          <w:rFonts w:ascii="Arial"/>
        </w:rPr>
      </w:pPr>
      <w:r w:rsidRPr="00541800">
        <w:rPr>
          <w:rFonts w:ascii="Arial"/>
          <w:color w:val="BF5A14"/>
        </w:rPr>
        <w:t>Biography</w:t>
      </w:r>
      <w:r w:rsidR="00541800">
        <w:rPr>
          <w:rFonts w:ascii="Arial"/>
          <w:color w:val="BF5A14"/>
        </w:rPr>
        <w:t xml:space="preserve"> </w:t>
      </w:r>
    </w:p>
    <w:p w14:paraId="5E88AE1F" w14:textId="77777777" w:rsidR="005B7F50" w:rsidRDefault="005B7F50">
      <w:pPr>
        <w:spacing w:before="41" w:line="154" w:lineRule="exact"/>
        <w:ind w:left="213" w:right="231"/>
        <w:jc w:val="both"/>
        <w:rPr>
          <w:rFonts w:ascii="Arial"/>
          <w:sz w:val="24"/>
          <w:szCs w:val="24"/>
          <w:highlight w:val="yellow"/>
        </w:rPr>
      </w:pPr>
    </w:p>
    <w:p w14:paraId="43B722B9" w14:textId="77777777" w:rsidR="00B53386" w:rsidRDefault="00B53386" w:rsidP="00F646BF">
      <w:pPr>
        <w:widowControl/>
        <w:rPr>
          <w:rFonts w:ascii="Calibri" w:eastAsia="Calibri" w:hAnsi="Calibri" w:cs="Calibri"/>
          <w:sz w:val="20"/>
          <w:szCs w:val="20"/>
        </w:rPr>
      </w:pPr>
    </w:p>
    <w:p w14:paraId="5E6983F0" w14:textId="767059B4" w:rsidR="00F646BF" w:rsidRPr="00F646BF" w:rsidRDefault="00F646BF" w:rsidP="00F646BF">
      <w:pPr>
        <w:widowControl/>
        <w:rPr>
          <w:rFonts w:ascii="Calibri" w:eastAsia="Calibri" w:hAnsi="Calibri" w:cs="Calibri"/>
          <w:sz w:val="20"/>
          <w:szCs w:val="20"/>
        </w:rPr>
      </w:pPr>
      <w:proofErr w:type="spellStart"/>
      <w:r w:rsidRPr="00F646BF">
        <w:rPr>
          <w:rFonts w:ascii="Calibri" w:eastAsia="Calibri" w:hAnsi="Calibri" w:cs="Calibri"/>
          <w:sz w:val="20"/>
          <w:szCs w:val="20"/>
        </w:rPr>
        <w:t>Dr</w:t>
      </w:r>
      <w:proofErr w:type="spellEnd"/>
      <w:r w:rsidRPr="00F646BF">
        <w:rPr>
          <w:rFonts w:ascii="Calibri" w:eastAsia="Calibri" w:hAnsi="Calibri" w:cs="Calibri"/>
          <w:sz w:val="20"/>
          <w:szCs w:val="20"/>
        </w:rPr>
        <w:t xml:space="preserve"> </w:t>
      </w:r>
      <w:proofErr w:type="spellStart"/>
      <w:r w:rsidRPr="00F646BF">
        <w:rPr>
          <w:rFonts w:ascii="Calibri" w:eastAsia="Calibri" w:hAnsi="Calibri" w:cs="Calibri"/>
          <w:sz w:val="20"/>
          <w:szCs w:val="20"/>
        </w:rPr>
        <w:t>Sahar</w:t>
      </w:r>
      <w:proofErr w:type="spellEnd"/>
      <w:r w:rsidRPr="00F646BF">
        <w:rPr>
          <w:rFonts w:ascii="Calibri" w:eastAsia="Calibri" w:hAnsi="Calibri" w:cs="Calibri"/>
          <w:sz w:val="20"/>
          <w:szCs w:val="20"/>
        </w:rPr>
        <w:t xml:space="preserve"> H. </w:t>
      </w:r>
      <w:proofErr w:type="spellStart"/>
      <w:r w:rsidRPr="00F646BF">
        <w:rPr>
          <w:rFonts w:ascii="Calibri" w:eastAsia="Calibri" w:hAnsi="Calibri" w:cs="Calibri"/>
          <w:sz w:val="20"/>
          <w:szCs w:val="20"/>
        </w:rPr>
        <w:t>Abdulghani</w:t>
      </w:r>
      <w:proofErr w:type="spellEnd"/>
      <w:r w:rsidRPr="00F646BF">
        <w:rPr>
          <w:rFonts w:ascii="Calibri" w:eastAsia="Calibri" w:hAnsi="Calibri" w:cs="Calibri"/>
          <w:sz w:val="20"/>
          <w:szCs w:val="20"/>
        </w:rPr>
        <w:t xml:space="preserve"> has her expertise in evaluation and passion in improving maternal health and wellbeing. Her open and contextual evaluation model based on responsive constructivists creates new pathways for improving healthcare. She has built this model after years of experience in research, evaluation, teaching and administration both in healthcare and educational Institutions. This foundation is based on fourth generation evaluation (</w:t>
      </w:r>
      <w:proofErr w:type="spellStart"/>
      <w:r w:rsidRPr="00F646BF">
        <w:rPr>
          <w:rFonts w:ascii="Calibri" w:eastAsia="Calibri" w:hAnsi="Calibri" w:cs="Calibri"/>
          <w:sz w:val="20"/>
          <w:szCs w:val="20"/>
        </w:rPr>
        <w:t>Guba</w:t>
      </w:r>
      <w:proofErr w:type="spellEnd"/>
      <w:r w:rsidRPr="00F646BF">
        <w:rPr>
          <w:rFonts w:ascii="Calibri" w:eastAsia="Calibri" w:hAnsi="Calibri" w:cs="Calibri"/>
          <w:sz w:val="20"/>
          <w:szCs w:val="20"/>
        </w:rPr>
        <w:t>&amp; Lincoln, 1989</w:t>
      </w:r>
      <w:proofErr w:type="gramStart"/>
      <w:r w:rsidRPr="00F646BF">
        <w:rPr>
          <w:rFonts w:ascii="Calibri" w:eastAsia="Calibri" w:hAnsi="Calibri" w:cs="Calibri"/>
          <w:sz w:val="20"/>
          <w:szCs w:val="20"/>
        </w:rPr>
        <w:t xml:space="preserve">) </w:t>
      </w:r>
      <w:r w:rsidR="001F2928">
        <w:rPr>
          <w:rFonts w:ascii="Calibri" w:eastAsia="Calibri" w:hAnsi="Calibri" w:cs="Calibri"/>
          <w:sz w:val="20"/>
          <w:szCs w:val="20"/>
        </w:rPr>
        <w:t xml:space="preserve"> </w:t>
      </w:r>
      <w:r w:rsidRPr="00F646BF">
        <w:rPr>
          <w:rFonts w:ascii="Calibri" w:eastAsia="Calibri" w:hAnsi="Calibri" w:cs="Calibri"/>
          <w:sz w:val="20"/>
          <w:szCs w:val="20"/>
        </w:rPr>
        <w:t>which</w:t>
      </w:r>
      <w:proofErr w:type="gramEnd"/>
      <w:r w:rsidRPr="00F646BF">
        <w:rPr>
          <w:rFonts w:ascii="Calibri" w:eastAsia="Calibri" w:hAnsi="Calibri" w:cs="Calibri"/>
          <w:sz w:val="20"/>
          <w:szCs w:val="20"/>
        </w:rPr>
        <w:t xml:space="preserve"> is a methodology that utilizes the previous generations of evaluation: measurement description and judgment. It allows for value-pluralism. This approach is responsive to all stakeholders and has a different way of focusing.</w:t>
      </w:r>
    </w:p>
    <w:p w14:paraId="53066392" w14:textId="77777777" w:rsidR="00B53386" w:rsidRDefault="005E68AA" w:rsidP="005E68AA">
      <w:pPr>
        <w:autoSpaceDE w:val="0"/>
        <w:autoSpaceDN w:val="0"/>
        <w:adjustRightInd w:val="0"/>
        <w:spacing w:after="240" w:line="340" w:lineRule="atLeast"/>
        <w:rPr>
          <w:rFonts w:ascii="Calibri" w:eastAsia="Calibri" w:hAnsi="Calibri" w:cs="Calibri"/>
          <w:sz w:val="20"/>
          <w:szCs w:val="20"/>
        </w:rPr>
      </w:pPr>
      <w:r w:rsidRPr="00F646BF">
        <w:rPr>
          <w:rFonts w:ascii="Calibri" w:eastAsia="Calibri" w:hAnsi="Calibri" w:cs="Calibri"/>
          <w:sz w:val="20"/>
          <w:szCs w:val="20"/>
        </w:rPr>
        <w:t xml:space="preserve">DR </w:t>
      </w:r>
      <w:proofErr w:type="spellStart"/>
      <w:r w:rsidRPr="00F646BF">
        <w:rPr>
          <w:rFonts w:ascii="Calibri" w:eastAsia="Calibri" w:hAnsi="Calibri" w:cs="Calibri"/>
          <w:sz w:val="20"/>
          <w:szCs w:val="20"/>
        </w:rPr>
        <w:t>Sahar</w:t>
      </w:r>
      <w:proofErr w:type="spellEnd"/>
      <w:r w:rsidRPr="00F646BF">
        <w:rPr>
          <w:rFonts w:ascii="Calibri" w:eastAsia="Calibri" w:hAnsi="Calibri" w:cs="Calibri"/>
          <w:sz w:val="20"/>
          <w:szCs w:val="20"/>
        </w:rPr>
        <w:t xml:space="preserve"> H. </w:t>
      </w:r>
      <w:proofErr w:type="spellStart"/>
      <w:r w:rsidRPr="00F646BF">
        <w:rPr>
          <w:rFonts w:ascii="Calibri" w:eastAsia="Calibri" w:hAnsi="Calibri" w:cs="Calibri"/>
          <w:sz w:val="20"/>
          <w:szCs w:val="20"/>
        </w:rPr>
        <w:t>Abdulghani</w:t>
      </w:r>
      <w:proofErr w:type="spellEnd"/>
      <w:r w:rsidRPr="00F646BF">
        <w:rPr>
          <w:rFonts w:ascii="Calibri" w:eastAsia="Calibri" w:hAnsi="Calibri" w:cs="Calibri"/>
          <w:sz w:val="20"/>
          <w:szCs w:val="20"/>
        </w:rPr>
        <w:t xml:space="preserve"> MD, SBOG, JBOG, Maternal Fetal Medicine Specialist. (American Registry for Diagnostic Medical </w:t>
      </w:r>
      <w:proofErr w:type="spellStart"/>
      <w:r w:rsidRPr="00F646BF">
        <w:rPr>
          <w:rFonts w:ascii="Calibri" w:eastAsia="Calibri" w:hAnsi="Calibri" w:cs="Calibri"/>
          <w:sz w:val="20"/>
          <w:szCs w:val="20"/>
        </w:rPr>
        <w:t>Sonography</w:t>
      </w:r>
      <w:proofErr w:type="spellEnd"/>
      <w:r w:rsidRPr="00F646BF">
        <w:rPr>
          <w:rFonts w:ascii="Calibri" w:eastAsia="Calibri" w:hAnsi="Calibri" w:cs="Calibri"/>
          <w:sz w:val="20"/>
          <w:szCs w:val="20"/>
        </w:rPr>
        <w:t xml:space="preserve"> (</w:t>
      </w:r>
      <w:proofErr w:type="gramStart"/>
      <w:r w:rsidRPr="00F646BF">
        <w:rPr>
          <w:rFonts w:ascii="Calibri" w:eastAsia="Calibri" w:hAnsi="Calibri" w:cs="Calibri"/>
          <w:sz w:val="20"/>
          <w:szCs w:val="20"/>
        </w:rPr>
        <w:t>ARDMS )</w:t>
      </w:r>
      <w:proofErr w:type="gramEnd"/>
      <w:r w:rsidRPr="00F646BF">
        <w:rPr>
          <w:rFonts w:ascii="Calibri" w:eastAsia="Calibri" w:hAnsi="Calibri" w:cs="Calibri"/>
          <w:sz w:val="20"/>
          <w:szCs w:val="20"/>
        </w:rPr>
        <w:t xml:space="preserve"> Department of Obstetrics and Gynecology, College of Medicine, King Khalid University Hospital, King Saud University Medical City, Riyadh. </w:t>
      </w:r>
    </w:p>
    <w:p w14:paraId="29E9C225" w14:textId="3726B7E0" w:rsidR="005E68AA" w:rsidRPr="00F646BF" w:rsidRDefault="005E68AA" w:rsidP="005E68AA">
      <w:pPr>
        <w:autoSpaceDE w:val="0"/>
        <w:autoSpaceDN w:val="0"/>
        <w:adjustRightInd w:val="0"/>
        <w:spacing w:after="240" w:line="340" w:lineRule="atLeast"/>
        <w:rPr>
          <w:rFonts w:ascii="Calibri" w:eastAsia="Calibri" w:hAnsi="Calibri" w:cs="Calibri"/>
          <w:sz w:val="20"/>
          <w:szCs w:val="20"/>
        </w:rPr>
      </w:pPr>
      <w:r w:rsidRPr="00F646BF">
        <w:rPr>
          <w:rFonts w:ascii="Calibri" w:eastAsia="Calibri" w:hAnsi="Calibri" w:cs="Calibri"/>
          <w:sz w:val="20"/>
          <w:szCs w:val="20"/>
        </w:rPr>
        <w:t>ORCID ID: https://orcid.org/0000-0001-6474-9385</w:t>
      </w:r>
    </w:p>
    <w:p w14:paraId="36B5190B" w14:textId="77777777" w:rsidR="005E68AA" w:rsidRPr="00F646BF" w:rsidRDefault="005E68AA" w:rsidP="005E68AA">
      <w:pPr>
        <w:pStyle w:val="Correspondencedetails"/>
        <w:rPr>
          <w:rFonts w:ascii="Calibri" w:eastAsia="Calibri" w:hAnsi="Calibri" w:cs="Calibri"/>
          <w:sz w:val="20"/>
          <w:szCs w:val="20"/>
          <w:lang w:val="en-US" w:eastAsia="en-US"/>
        </w:rPr>
      </w:pPr>
      <w:r w:rsidRPr="00F646BF">
        <w:rPr>
          <w:rFonts w:ascii="Calibri" w:eastAsia="Calibri" w:hAnsi="Calibri" w:cs="Calibri"/>
          <w:sz w:val="20"/>
          <w:szCs w:val="20"/>
          <w:lang w:val="en-US" w:eastAsia="en-US"/>
        </w:rPr>
        <w:lastRenderedPageBreak/>
        <w:t xml:space="preserve">Email: </w:t>
      </w:r>
      <w:hyperlink r:id="rId14" w:history="1">
        <w:r w:rsidRPr="00F646BF">
          <w:rPr>
            <w:rFonts w:ascii="Calibri" w:eastAsia="Calibri" w:hAnsi="Calibri" w:cs="Calibri"/>
            <w:sz w:val="20"/>
            <w:szCs w:val="20"/>
            <w:lang w:val="en-US" w:eastAsia="en-US"/>
          </w:rPr>
          <w:t>Sabdulalghani@KSU.EDU.SA</w:t>
        </w:r>
      </w:hyperlink>
      <w:r w:rsidRPr="00F646BF">
        <w:rPr>
          <w:rFonts w:ascii="Calibri" w:eastAsia="Calibri" w:hAnsi="Calibri" w:cs="Calibri"/>
          <w:sz w:val="20"/>
          <w:szCs w:val="20"/>
          <w:lang w:val="en-US" w:eastAsia="en-US"/>
        </w:rPr>
        <w:t xml:space="preserve">, </w:t>
      </w:r>
      <w:hyperlink r:id="rId15" w:history="1">
        <w:r w:rsidRPr="00F646BF">
          <w:rPr>
            <w:rFonts w:ascii="Calibri" w:eastAsia="Calibri" w:hAnsi="Calibri" w:cs="Calibri"/>
            <w:sz w:val="20"/>
            <w:szCs w:val="20"/>
            <w:lang w:val="en-US" w:eastAsia="en-US"/>
          </w:rPr>
          <w:t>saharhhag@yahoo.com</w:t>
        </w:r>
      </w:hyperlink>
    </w:p>
    <w:p w14:paraId="63DE5D7A" w14:textId="71BD4BBE" w:rsidR="005E68AA" w:rsidRPr="00F646BF" w:rsidRDefault="005E68AA" w:rsidP="005E68AA">
      <w:pPr>
        <w:pStyle w:val="Correspondencedetails"/>
        <w:rPr>
          <w:rFonts w:ascii="Calibri" w:eastAsia="Calibri" w:hAnsi="Calibri" w:cs="Calibri"/>
          <w:sz w:val="20"/>
          <w:szCs w:val="20"/>
          <w:lang w:val="en-US" w:eastAsia="en-US"/>
        </w:rPr>
      </w:pPr>
      <w:r w:rsidRPr="00F646BF">
        <w:rPr>
          <w:rFonts w:ascii="Calibri" w:eastAsia="Calibri" w:hAnsi="Calibri" w:cs="Calibri"/>
          <w:sz w:val="20"/>
          <w:szCs w:val="20"/>
          <w:lang w:val="en-US" w:eastAsia="en-US"/>
        </w:rPr>
        <w:t>P.O BOX 4663 11412 Riyadh, Kingdom of Saudi Arabia</w:t>
      </w:r>
    </w:p>
    <w:p w14:paraId="1DB74DDB" w14:textId="64B4FC51" w:rsidR="005B7F50" w:rsidRPr="00F646BF" w:rsidRDefault="005E68AA" w:rsidP="005E68AA">
      <w:pPr>
        <w:pStyle w:val="BodyText"/>
        <w:spacing w:before="90" w:line="280" w:lineRule="auto"/>
        <w:jc w:val="both"/>
        <w:rPr>
          <w:rFonts w:ascii="Calibri" w:eastAsia="Calibri" w:hAnsi="Calibri" w:cs="Calibri"/>
          <w:sz w:val="20"/>
          <w:szCs w:val="20"/>
        </w:rPr>
      </w:pPr>
      <w:r w:rsidRPr="00F646BF">
        <w:rPr>
          <w:rFonts w:ascii="Calibri" w:eastAsia="Calibri" w:hAnsi="Calibri" w:cs="Calibri"/>
          <w:sz w:val="20"/>
          <w:szCs w:val="20"/>
        </w:rPr>
        <w:t>Telephone +966-505256616</w:t>
      </w:r>
    </w:p>
    <w:p w14:paraId="1C3287ED" w14:textId="77777777" w:rsidR="005B7F50" w:rsidRDefault="005B7F50" w:rsidP="00BB6E6A">
      <w:pPr>
        <w:spacing w:before="62"/>
        <w:ind w:left="4217" w:right="4235"/>
        <w:jc w:val="center"/>
        <w:rPr>
          <w:rFonts w:ascii="Arial"/>
          <w:sz w:val="24"/>
          <w:szCs w:val="24"/>
        </w:rPr>
      </w:pPr>
    </w:p>
    <w:p w14:paraId="08B07863" w14:textId="77777777" w:rsidR="00AE3E37" w:rsidRPr="005B7F50" w:rsidRDefault="00292ED9">
      <w:pPr>
        <w:pStyle w:val="BodyText"/>
        <w:spacing w:before="2"/>
        <w:rPr>
          <w:rFonts w:ascii="Arial"/>
          <w:sz w:val="24"/>
          <w:szCs w:val="24"/>
        </w:rPr>
      </w:pPr>
      <w:r w:rsidRPr="005B7F50">
        <w:rPr>
          <w:noProof/>
          <w:sz w:val="24"/>
          <w:szCs w:val="24"/>
        </w:rPr>
        <mc:AlternateContent>
          <mc:Choice Requires="wps">
            <w:drawing>
              <wp:anchor distT="0" distB="0" distL="0" distR="0" simplePos="0" relativeHeight="1072" behindDoc="0" locked="0" layoutInCell="1" allowOverlap="1" wp14:anchorId="2FFDCFF1" wp14:editId="371F132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6BA57F3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507300C" w14:textId="77777777" w:rsidR="00AE3E37" w:rsidRDefault="00AE3E37">
      <w:pPr>
        <w:pStyle w:val="BodyText"/>
        <w:rPr>
          <w:rFonts w:ascii="Arial"/>
          <w:sz w:val="20"/>
        </w:rPr>
      </w:pPr>
    </w:p>
    <w:p w14:paraId="2FCB4481" w14:textId="77777777" w:rsidR="00AE3E37" w:rsidRDefault="00AE3E37">
      <w:pPr>
        <w:pStyle w:val="BodyText"/>
        <w:rPr>
          <w:rFonts w:ascii="Arial"/>
          <w:sz w:val="20"/>
        </w:rPr>
      </w:pPr>
    </w:p>
    <w:p w14:paraId="240FE45A" w14:textId="77777777" w:rsidR="00AE3E37" w:rsidRDefault="00AE3E37">
      <w:pPr>
        <w:pStyle w:val="BodyText"/>
        <w:spacing w:before="7"/>
        <w:rPr>
          <w:rFonts w:ascii="Arial"/>
          <w:sz w:val="29"/>
        </w:rPr>
      </w:pPr>
    </w:p>
    <w:p w14:paraId="030589C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842D95"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A9E96" w14:textId="77777777" w:rsidR="00CE7644" w:rsidRDefault="00CE7644">
      <w:r>
        <w:separator/>
      </w:r>
    </w:p>
  </w:endnote>
  <w:endnote w:type="continuationSeparator" w:id="0">
    <w:p w14:paraId="4E983473" w14:textId="77777777" w:rsidR="00CE7644" w:rsidRDefault="00CE7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976DBC" w14:textId="77777777" w:rsidR="00CE7644" w:rsidRDefault="00CE764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FC49843" wp14:editId="7412264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77025" w14:textId="77777777" w:rsidR="00CE7644" w:rsidRPr="005B3A56" w:rsidRDefault="00CE764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C6144F" w14:textId="77777777" w:rsidR="00CE7644" w:rsidRPr="005B3A56" w:rsidRDefault="00CE764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3E77025" w14:textId="77777777" w:rsidR="005D230F" w:rsidRPr="005B3A56" w:rsidRDefault="005D230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C6144F" w14:textId="77777777" w:rsidR="005D230F" w:rsidRPr="005B3A56" w:rsidRDefault="005D230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753F0EC" wp14:editId="6A4E7A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609D3" w14:textId="77777777" w:rsidR="00CE7644" w:rsidRPr="005B3A56" w:rsidRDefault="00CE764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23D35E" w14:textId="77777777" w:rsidR="00CE7644" w:rsidRPr="005B3A56" w:rsidRDefault="00CE764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E3609D3" w14:textId="77777777" w:rsidR="005D230F" w:rsidRPr="005B3A56" w:rsidRDefault="005D230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A23D35E" w14:textId="77777777" w:rsidR="005D230F" w:rsidRPr="005B3A56" w:rsidRDefault="005D230F">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FB6E3D1" wp14:editId="064EAED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002D3" w14:textId="77777777" w:rsidR="00CE7644" w:rsidRPr="005B3A56" w:rsidRDefault="00CE764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D192407" w14:textId="77777777" w:rsidR="00CE7644" w:rsidRPr="005B3A56" w:rsidRDefault="00CE764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E2002D3" w14:textId="77777777" w:rsidR="005D230F" w:rsidRPr="005B3A56" w:rsidRDefault="005D230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D192407" w14:textId="77777777" w:rsidR="005D230F" w:rsidRPr="005B3A56" w:rsidRDefault="005D230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2EF817" w14:textId="77777777" w:rsidR="00CE7644" w:rsidRDefault="00CE7644">
      <w:r>
        <w:separator/>
      </w:r>
    </w:p>
  </w:footnote>
  <w:footnote w:type="continuationSeparator" w:id="0">
    <w:p w14:paraId="64EA10B2" w14:textId="77777777" w:rsidR="00CE7644" w:rsidRDefault="00CE76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14C88F" w14:textId="77777777" w:rsidR="00CE7644" w:rsidRDefault="00CE7644">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B28966D" wp14:editId="7F1F878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5D60E" w14:textId="77777777" w:rsidR="00CE7644" w:rsidRPr="005B3A56" w:rsidRDefault="00CE764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395D60E" w14:textId="77777777" w:rsidR="005D230F" w:rsidRPr="005B3A56" w:rsidRDefault="005D230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79EF4CC" wp14:editId="28221D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9FA13" w14:textId="77777777" w:rsidR="00CE7644" w:rsidRPr="005B3A56" w:rsidRDefault="00CE764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AB7F33" w14:textId="77777777" w:rsidR="00CE7644" w:rsidRPr="005B3A56" w:rsidRDefault="00CE764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F69FA13" w14:textId="77777777" w:rsidR="005D230F" w:rsidRPr="005B3A56" w:rsidRDefault="005D230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FAB7F33" w14:textId="77777777" w:rsidR="005D230F" w:rsidRPr="005B3A56" w:rsidRDefault="005D230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3"/>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1C5C"/>
    <w:rsid w:val="001E763C"/>
    <w:rsid w:val="001F2928"/>
    <w:rsid w:val="00291EF5"/>
    <w:rsid w:val="00292ED9"/>
    <w:rsid w:val="00314AFB"/>
    <w:rsid w:val="003679A0"/>
    <w:rsid w:val="003B76D9"/>
    <w:rsid w:val="00404E5B"/>
    <w:rsid w:val="00414F7B"/>
    <w:rsid w:val="004355DC"/>
    <w:rsid w:val="004749B4"/>
    <w:rsid w:val="00494130"/>
    <w:rsid w:val="004F3523"/>
    <w:rsid w:val="00541800"/>
    <w:rsid w:val="005973B9"/>
    <w:rsid w:val="005B3A56"/>
    <w:rsid w:val="005B7F50"/>
    <w:rsid w:val="005D230F"/>
    <w:rsid w:val="005E68AA"/>
    <w:rsid w:val="006060CE"/>
    <w:rsid w:val="0063497F"/>
    <w:rsid w:val="0078738A"/>
    <w:rsid w:val="00873DF0"/>
    <w:rsid w:val="008756E6"/>
    <w:rsid w:val="009B2D44"/>
    <w:rsid w:val="00A07E82"/>
    <w:rsid w:val="00A9710C"/>
    <w:rsid w:val="00AA6FD8"/>
    <w:rsid w:val="00AB3C44"/>
    <w:rsid w:val="00AE3E37"/>
    <w:rsid w:val="00B21A57"/>
    <w:rsid w:val="00B53386"/>
    <w:rsid w:val="00BB6E6A"/>
    <w:rsid w:val="00C205F6"/>
    <w:rsid w:val="00C33602"/>
    <w:rsid w:val="00CD6F55"/>
    <w:rsid w:val="00CE7644"/>
    <w:rsid w:val="00D62425"/>
    <w:rsid w:val="00D82438"/>
    <w:rsid w:val="00DA145A"/>
    <w:rsid w:val="00DE3104"/>
    <w:rsid w:val="00E4799B"/>
    <w:rsid w:val="00F076FF"/>
    <w:rsid w:val="00F646BF"/>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2FE2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AA6FD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go">
    <w:name w:val="go"/>
    <w:basedOn w:val="DefaultParagraphFont"/>
    <w:rsid w:val="00BB6E6A"/>
  </w:style>
  <w:style w:type="character" w:customStyle="1" w:styleId="Heading4Char">
    <w:name w:val="Heading 4 Char"/>
    <w:basedOn w:val="DefaultParagraphFont"/>
    <w:link w:val="Heading4"/>
    <w:uiPriority w:val="9"/>
    <w:semiHidden/>
    <w:rsid w:val="00AA6FD8"/>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AA6FD8"/>
    <w:pPr>
      <w:widowControl/>
      <w:spacing w:before="100" w:beforeAutospacing="1" w:after="100" w:afterAutospacing="1"/>
    </w:pPr>
    <w:rPr>
      <w:rFonts w:ascii="Times New Roman" w:eastAsiaTheme="minorHAnsi" w:hAnsi="Times New Roman" w:cs="Times New Roman"/>
      <w:sz w:val="20"/>
      <w:szCs w:val="20"/>
    </w:rPr>
  </w:style>
  <w:style w:type="character" w:styleId="Strong">
    <w:name w:val="Strong"/>
    <w:basedOn w:val="DefaultParagraphFont"/>
    <w:uiPriority w:val="22"/>
    <w:qFormat/>
    <w:rsid w:val="00AA6FD8"/>
    <w:rPr>
      <w:b/>
      <w:bCs/>
    </w:rPr>
  </w:style>
  <w:style w:type="character" w:customStyle="1" w:styleId="apple-converted-space">
    <w:name w:val="apple-converted-space"/>
    <w:basedOn w:val="DefaultParagraphFont"/>
    <w:rsid w:val="00AA6FD8"/>
  </w:style>
  <w:style w:type="character" w:customStyle="1" w:styleId="selectable">
    <w:name w:val="selectable"/>
    <w:basedOn w:val="DefaultParagraphFont"/>
    <w:rsid w:val="00AA6FD8"/>
  </w:style>
  <w:style w:type="paragraph" w:customStyle="1" w:styleId="Correspondencedetails">
    <w:name w:val="Correspondence details"/>
    <w:basedOn w:val="Normal"/>
    <w:qFormat/>
    <w:rsid w:val="005E68AA"/>
    <w:pPr>
      <w:widowControl/>
      <w:spacing w:before="240" w:line="36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AA6FD8"/>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go">
    <w:name w:val="go"/>
    <w:basedOn w:val="DefaultParagraphFont"/>
    <w:rsid w:val="00BB6E6A"/>
  </w:style>
  <w:style w:type="character" w:customStyle="1" w:styleId="Heading4Char">
    <w:name w:val="Heading 4 Char"/>
    <w:basedOn w:val="DefaultParagraphFont"/>
    <w:link w:val="Heading4"/>
    <w:uiPriority w:val="9"/>
    <w:semiHidden/>
    <w:rsid w:val="00AA6FD8"/>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AA6FD8"/>
    <w:pPr>
      <w:widowControl/>
      <w:spacing w:before="100" w:beforeAutospacing="1" w:after="100" w:afterAutospacing="1"/>
    </w:pPr>
    <w:rPr>
      <w:rFonts w:ascii="Times New Roman" w:eastAsiaTheme="minorHAnsi" w:hAnsi="Times New Roman" w:cs="Times New Roman"/>
      <w:sz w:val="20"/>
      <w:szCs w:val="20"/>
    </w:rPr>
  </w:style>
  <w:style w:type="character" w:styleId="Strong">
    <w:name w:val="Strong"/>
    <w:basedOn w:val="DefaultParagraphFont"/>
    <w:uiPriority w:val="22"/>
    <w:qFormat/>
    <w:rsid w:val="00AA6FD8"/>
    <w:rPr>
      <w:b/>
      <w:bCs/>
    </w:rPr>
  </w:style>
  <w:style w:type="character" w:customStyle="1" w:styleId="apple-converted-space">
    <w:name w:val="apple-converted-space"/>
    <w:basedOn w:val="DefaultParagraphFont"/>
    <w:rsid w:val="00AA6FD8"/>
  </w:style>
  <w:style w:type="character" w:customStyle="1" w:styleId="selectable">
    <w:name w:val="selectable"/>
    <w:basedOn w:val="DefaultParagraphFont"/>
    <w:rsid w:val="00AA6FD8"/>
  </w:style>
  <w:style w:type="paragraph" w:customStyle="1" w:styleId="Correspondencedetails">
    <w:name w:val="Correspondence details"/>
    <w:basedOn w:val="Normal"/>
    <w:qFormat/>
    <w:rsid w:val="005E68AA"/>
    <w:pPr>
      <w:widowControl/>
      <w:spacing w:before="240" w:line="36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07364">
      <w:bodyDiv w:val="1"/>
      <w:marLeft w:val="0"/>
      <w:marRight w:val="0"/>
      <w:marTop w:val="0"/>
      <w:marBottom w:val="0"/>
      <w:divBdr>
        <w:top w:val="none" w:sz="0" w:space="0" w:color="auto"/>
        <w:left w:val="none" w:sz="0" w:space="0" w:color="auto"/>
        <w:bottom w:val="none" w:sz="0" w:space="0" w:color="auto"/>
        <w:right w:val="none" w:sz="0" w:space="0" w:color="auto"/>
      </w:divBdr>
    </w:div>
    <w:div w:id="110823826">
      <w:bodyDiv w:val="1"/>
      <w:marLeft w:val="0"/>
      <w:marRight w:val="0"/>
      <w:marTop w:val="0"/>
      <w:marBottom w:val="0"/>
      <w:divBdr>
        <w:top w:val="none" w:sz="0" w:space="0" w:color="auto"/>
        <w:left w:val="none" w:sz="0" w:space="0" w:color="auto"/>
        <w:bottom w:val="none" w:sz="0" w:space="0" w:color="auto"/>
        <w:right w:val="none" w:sz="0" w:space="0" w:color="auto"/>
      </w:divBdr>
      <w:divsChild>
        <w:div w:id="973829757">
          <w:marLeft w:val="0"/>
          <w:marRight w:val="0"/>
          <w:marTop w:val="0"/>
          <w:marBottom w:val="0"/>
          <w:divBdr>
            <w:top w:val="none" w:sz="0" w:space="0" w:color="auto"/>
            <w:left w:val="none" w:sz="0" w:space="0" w:color="auto"/>
            <w:bottom w:val="none" w:sz="0" w:space="0" w:color="auto"/>
            <w:right w:val="none" w:sz="0" w:space="0" w:color="auto"/>
          </w:divBdr>
          <w:divsChild>
            <w:div w:id="4549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82689">
      <w:bodyDiv w:val="1"/>
      <w:marLeft w:val="0"/>
      <w:marRight w:val="0"/>
      <w:marTop w:val="0"/>
      <w:marBottom w:val="0"/>
      <w:divBdr>
        <w:top w:val="none" w:sz="0" w:space="0" w:color="auto"/>
        <w:left w:val="none" w:sz="0" w:space="0" w:color="auto"/>
        <w:bottom w:val="none" w:sz="0" w:space="0" w:color="auto"/>
        <w:right w:val="none" w:sz="0" w:space="0" w:color="auto"/>
      </w:divBdr>
    </w:div>
    <w:div w:id="30586284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133138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3084694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doi.org/10.1111/jep.12927" TargetMode="External"/><Relationship Id="rId12" Type="http://schemas.openxmlformats.org/officeDocument/2006/relationships/hyperlink" Target="https://www.rcog.org.uk/en/guidelines-research-services/guidelines/gtg52/" TargetMode="External"/><Relationship Id="rId13" Type="http://schemas.openxmlformats.org/officeDocument/2006/relationships/image" Target="media/image2.jpeg"/><Relationship Id="rId14" Type="http://schemas.openxmlformats.org/officeDocument/2006/relationships/hyperlink" Target="mailto:Sabdulalghani@KSU.EDU.SA" TargetMode="External"/><Relationship Id="rId15" Type="http://schemas.openxmlformats.org/officeDocument/2006/relationships/hyperlink" Target="mailto:saharhhag@yahoo.com"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835</Words>
  <Characters>4766</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ddddd</cp:lastModifiedBy>
  <cp:revision>3</cp:revision>
  <dcterms:created xsi:type="dcterms:W3CDTF">2020-01-01T07:05:00Z</dcterms:created>
  <dcterms:modified xsi:type="dcterms:W3CDTF">2020-01-01T12:10:00Z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