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D4125" w:rsidP="00494130">
      <w:pPr>
        <w:pStyle w:val="1"/>
        <w:spacing w:before="170"/>
        <w:ind w:left="0"/>
      </w:pPr>
      <w:r w:rsidRPr="001D4125">
        <w:rPr>
          <w:color w:val="337AB7"/>
        </w:rPr>
        <w:t xml:space="preserve">Core Cognition Therapy: A hypothesis that task-intentioned weight shift can restore anticipatory postural adjustments of the </w:t>
      </w:r>
      <w:proofErr w:type="spellStart"/>
      <w:r w:rsidRPr="001D4125">
        <w:rPr>
          <w:color w:val="337AB7"/>
        </w:rPr>
        <w:t>transversus</w:t>
      </w:r>
      <w:proofErr w:type="spellEnd"/>
      <w:r w:rsidRPr="001D4125">
        <w:rPr>
          <w:color w:val="337AB7"/>
        </w:rPr>
        <w:t xml:space="preserve"> </w:t>
      </w:r>
      <w:proofErr w:type="spellStart"/>
      <w:r w:rsidRPr="001D4125">
        <w:rPr>
          <w:color w:val="337AB7"/>
        </w:rPr>
        <w:t>abdominis</w:t>
      </w:r>
      <w:proofErr w:type="spellEnd"/>
      <w:r w:rsidRPr="001D4125">
        <w:rPr>
          <w:color w:val="337AB7"/>
        </w:rPr>
        <w:t xml:space="preserve"> through the </w:t>
      </w:r>
      <w:proofErr w:type="spellStart"/>
      <w:r w:rsidRPr="001D4125">
        <w:rPr>
          <w:color w:val="337AB7"/>
        </w:rPr>
        <w:t>ideomotor</w:t>
      </w:r>
      <w:proofErr w:type="spellEnd"/>
      <w:r w:rsidRPr="001D4125">
        <w:rPr>
          <w:color w:val="337AB7"/>
        </w:rPr>
        <w:t xml:space="preserve"> pathway</w:t>
      </w:r>
    </w:p>
    <w:p w:rsidR="001D4125" w:rsidRPr="001D4125" w:rsidRDefault="001D4125" w:rsidP="005973B9">
      <w:pPr>
        <w:pStyle w:val="a3"/>
        <w:spacing w:before="73" w:line="198" w:lineRule="exact"/>
        <w:ind w:left="100" w:right="5987"/>
        <w:rPr>
          <w:rFonts w:ascii="Arial" w:eastAsiaTheme="minorEastAsia" w:hint="eastAsia"/>
          <w:lang w:eastAsia="ko-KR"/>
        </w:rPr>
      </w:pPr>
    </w:p>
    <w:p w:rsidR="00AE3E37" w:rsidRDefault="001D4125">
      <w:pPr>
        <w:pStyle w:val="a3"/>
        <w:rPr>
          <w:rFonts w:ascii="Arial"/>
          <w:sz w:val="20"/>
        </w:rPr>
      </w:pPr>
      <w:proofErr w:type="spellStart"/>
      <w:r w:rsidRPr="001D4125">
        <w:rPr>
          <w:rFonts w:ascii="Arial"/>
        </w:rPr>
        <w:t>Dae</w:t>
      </w:r>
      <w:proofErr w:type="spellEnd"/>
      <w:r w:rsidRPr="001D4125">
        <w:rPr>
          <w:rFonts w:ascii="Arial"/>
        </w:rPr>
        <w:t xml:space="preserve">-Young Lee, MD, Department of Orthopedic Surgery, </w:t>
      </w:r>
      <w:proofErr w:type="spellStart"/>
      <w:r w:rsidRPr="001D4125">
        <w:rPr>
          <w:rFonts w:ascii="Arial"/>
        </w:rPr>
        <w:t>SaeGil</w:t>
      </w:r>
      <w:proofErr w:type="spellEnd"/>
      <w:r w:rsidRPr="001D4125">
        <w:rPr>
          <w:rFonts w:ascii="Arial"/>
        </w:rPr>
        <w:t xml:space="preserve"> Hospital, Seoul, Republic of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1D4125" w:rsidRPr="001D4125" w:rsidRDefault="001D4125" w:rsidP="001D4125">
      <w:pPr>
        <w:rPr>
          <w:sz w:val="18"/>
          <w:szCs w:val="18"/>
        </w:rPr>
      </w:pPr>
      <w:r w:rsidRPr="001D4125">
        <w:rPr>
          <w:sz w:val="18"/>
          <w:szCs w:val="18"/>
        </w:rPr>
        <w:t xml:space="preserve">Statement of the Problem: Disruption of the neural control subsystem—the central coordinator of Panjabi's spinal stability model —perpetuates spinal instability in chronic low back pain, recurrent spinal pain, and postoperative dysfunction. This disruption manifests as excessive superficial muscle guarding, which suppresses the </w:t>
      </w:r>
      <w:proofErr w:type="spellStart"/>
      <w:r w:rsidRPr="001D4125">
        <w:rPr>
          <w:sz w:val="18"/>
          <w:szCs w:val="18"/>
        </w:rPr>
        <w:t>feedforward</w:t>
      </w:r>
      <w:proofErr w:type="spellEnd"/>
      <w:r w:rsidRPr="001D4125">
        <w:rPr>
          <w:sz w:val="18"/>
          <w:szCs w:val="18"/>
        </w:rPr>
        <w:t xml:space="preserve"> function of the </w:t>
      </w:r>
      <w:proofErr w:type="spellStart"/>
      <w:r w:rsidRPr="001D4125">
        <w:rPr>
          <w:sz w:val="18"/>
          <w:szCs w:val="18"/>
        </w:rPr>
        <w:t>transversus</w:t>
      </w:r>
      <w:proofErr w:type="spellEnd"/>
      <w:r w:rsidRPr="001D4125">
        <w:rPr>
          <w:sz w:val="18"/>
          <w:szCs w:val="18"/>
        </w:rPr>
        <w:t xml:space="preserve"> </w:t>
      </w:r>
      <w:proofErr w:type="spellStart"/>
      <w:r w:rsidRPr="001D4125">
        <w:rPr>
          <w:sz w:val="18"/>
          <w:szCs w:val="18"/>
        </w:rPr>
        <w:t>abdominis</w:t>
      </w:r>
      <w:proofErr w:type="spellEnd"/>
      <w:r w:rsidRPr="001D4125">
        <w:rPr>
          <w:sz w:val="18"/>
          <w:szCs w:val="18"/>
        </w:rPr>
        <w:t xml:space="preserve"> (</w:t>
      </w:r>
      <w:proofErr w:type="spellStart"/>
      <w:r w:rsidRPr="001D4125">
        <w:rPr>
          <w:sz w:val="18"/>
          <w:szCs w:val="18"/>
        </w:rPr>
        <w:t>TrA</w:t>
      </w:r>
      <w:proofErr w:type="spellEnd"/>
      <w:r w:rsidRPr="001D4125">
        <w:rPr>
          <w:sz w:val="18"/>
          <w:szCs w:val="18"/>
        </w:rPr>
        <w:t xml:space="preserve">). Motor control exercise (MCE) relies on volitional draw-in commands that paradoxically reinforce superficial co-contraction when guarding is present. Cognitive functional therapy (CFT) effectively reframes pain-related cognition and reduces protective behaviors, yet lacks a direct neurophysiological pathway to reactivate automatic deep stabilizer function. The therapeutic gap between dismantling guarding and restoring deep stabilizer automaticity remains unfilled. Methodology &amp; Theoretical Orientation: I propose Core Cognition Therapy (CCT)—a four-stage therapeutic pipeline grounded in </w:t>
      </w:r>
      <w:proofErr w:type="spellStart"/>
      <w:r w:rsidRPr="001D4125">
        <w:rPr>
          <w:sz w:val="18"/>
          <w:szCs w:val="18"/>
        </w:rPr>
        <w:t>ideomotor</w:t>
      </w:r>
      <w:proofErr w:type="spellEnd"/>
      <w:r w:rsidRPr="001D4125">
        <w:rPr>
          <w:sz w:val="18"/>
          <w:szCs w:val="18"/>
        </w:rPr>
        <w:t xml:space="preserve"> theory and anticipatory postural adjustment (APA) physiology. The pipeline integrates: (1) substantial reduction of superficial muscle guarding through behavioral relaxation, (2) a weight-shift task to activate the </w:t>
      </w:r>
      <w:proofErr w:type="spellStart"/>
      <w:r w:rsidRPr="001D4125">
        <w:rPr>
          <w:sz w:val="18"/>
          <w:szCs w:val="18"/>
        </w:rPr>
        <w:t>ideomotor</w:t>
      </w:r>
      <w:proofErr w:type="spellEnd"/>
      <w:r w:rsidRPr="001D4125">
        <w:rPr>
          <w:sz w:val="18"/>
          <w:szCs w:val="18"/>
        </w:rPr>
        <w:t xml:space="preserve"> mechanism without volitional contraction commands, (3) automatic </w:t>
      </w:r>
      <w:proofErr w:type="spellStart"/>
      <w:r w:rsidRPr="001D4125">
        <w:rPr>
          <w:sz w:val="18"/>
          <w:szCs w:val="18"/>
        </w:rPr>
        <w:t>TrA</w:t>
      </w:r>
      <w:proofErr w:type="spellEnd"/>
      <w:r w:rsidRPr="001D4125">
        <w:rPr>
          <w:sz w:val="18"/>
          <w:szCs w:val="18"/>
        </w:rPr>
        <w:t xml:space="preserve"> anticipatory postural adjustment via the internal forward model, and (4) consolidation through sensorimotor cognition for lifestyle integration. The central claim is that task intention alone—not volitional muscle commands—triggers the forward model to generate </w:t>
      </w:r>
      <w:proofErr w:type="spellStart"/>
      <w:r w:rsidRPr="001D4125">
        <w:rPr>
          <w:sz w:val="18"/>
          <w:szCs w:val="18"/>
        </w:rPr>
        <w:t>TrA</w:t>
      </w:r>
      <w:proofErr w:type="spellEnd"/>
      <w:r w:rsidRPr="001D4125">
        <w:rPr>
          <w:sz w:val="18"/>
          <w:szCs w:val="18"/>
        </w:rPr>
        <w:t xml:space="preserve"> APAs through an </w:t>
      </w:r>
      <w:proofErr w:type="spellStart"/>
      <w:r w:rsidRPr="001D4125">
        <w:rPr>
          <w:sz w:val="18"/>
          <w:szCs w:val="18"/>
        </w:rPr>
        <w:t>ideomotor</w:t>
      </w:r>
      <w:proofErr w:type="spellEnd"/>
      <w:r w:rsidRPr="001D4125">
        <w:rPr>
          <w:sz w:val="18"/>
          <w:szCs w:val="18"/>
        </w:rPr>
        <w:t xml:space="preserve">-mediated, non-volitional pathway. Recent </w:t>
      </w:r>
      <w:proofErr w:type="spellStart"/>
      <w:r w:rsidRPr="001D4125">
        <w:rPr>
          <w:sz w:val="18"/>
          <w:szCs w:val="18"/>
        </w:rPr>
        <w:t>stabilographic</w:t>
      </w:r>
      <w:proofErr w:type="spellEnd"/>
      <w:r w:rsidRPr="001D4125">
        <w:rPr>
          <w:sz w:val="18"/>
          <w:szCs w:val="18"/>
        </w:rPr>
        <w:t xml:space="preserve"> evidence confirms that </w:t>
      </w:r>
      <w:proofErr w:type="spellStart"/>
      <w:r w:rsidRPr="001D4125">
        <w:rPr>
          <w:sz w:val="18"/>
          <w:szCs w:val="18"/>
        </w:rPr>
        <w:t>ideomotor</w:t>
      </w:r>
      <w:proofErr w:type="spellEnd"/>
      <w:r w:rsidRPr="001D4125">
        <w:rPr>
          <w:sz w:val="18"/>
          <w:szCs w:val="18"/>
        </w:rPr>
        <w:t xml:space="preserve"> loading engages postural control mechanisms at the whole-body level. Findings: CCT generates specific, falsifiable predictions: </w:t>
      </w:r>
      <w:proofErr w:type="spellStart"/>
      <w:r w:rsidRPr="001D4125">
        <w:rPr>
          <w:sz w:val="18"/>
          <w:szCs w:val="18"/>
        </w:rPr>
        <w:t>TrA</w:t>
      </w:r>
      <w:proofErr w:type="spellEnd"/>
      <w:r w:rsidRPr="001D4125">
        <w:rPr>
          <w:sz w:val="18"/>
          <w:szCs w:val="18"/>
        </w:rPr>
        <w:t xml:space="preserve"> APA onset during CCT weight shift should be earlier than during MCE draw-in; superficial co-contraction should be lower during CCT; and </w:t>
      </w:r>
      <w:proofErr w:type="spellStart"/>
      <w:r w:rsidRPr="001D4125">
        <w:rPr>
          <w:sz w:val="18"/>
          <w:szCs w:val="18"/>
        </w:rPr>
        <w:t>TrA</w:t>
      </w:r>
      <w:proofErr w:type="spellEnd"/>
      <w:r w:rsidRPr="001D4125">
        <w:rPr>
          <w:sz w:val="18"/>
          <w:szCs w:val="18"/>
        </w:rPr>
        <w:t xml:space="preserve"> activation should persist during untrained daily tasks. A three-phase research program (proof-of-concept, pilot RCT, definitive multi-center RCT) is proposed. Conclusion &amp; Significance: CCT offers a fundamentally different rehabilitation paradigm that bypasses corrupted volitional pathways by leveraging task-triggered, </w:t>
      </w:r>
      <w:proofErr w:type="spellStart"/>
      <w:r w:rsidRPr="001D4125">
        <w:rPr>
          <w:sz w:val="18"/>
          <w:szCs w:val="18"/>
        </w:rPr>
        <w:t>ideomotor</w:t>
      </w:r>
      <w:proofErr w:type="spellEnd"/>
      <w:r w:rsidRPr="001D4125">
        <w:rPr>
          <w:sz w:val="18"/>
          <w:szCs w:val="18"/>
        </w:rPr>
        <w:t>-mediated APA restoration—potentially filling the therapeutic gap between CFT and MCE for patients with spinal neural control dysfunction.</w:t>
      </w:r>
    </w:p>
    <w:p w:rsidR="00AE3E37" w:rsidRDefault="00A9710C">
      <w:pPr>
        <w:pStyle w:val="3"/>
        <w:spacing w:before="74"/>
      </w:pPr>
      <w:r>
        <w:rPr>
          <w:b w:val="0"/>
        </w:rPr>
        <w:br w:type="column"/>
      </w:r>
      <w:r>
        <w:rPr>
          <w:color w:val="BF5A14"/>
        </w:rPr>
        <w:lastRenderedPageBreak/>
        <w:t>Image</w:t>
      </w:r>
    </w:p>
    <w:p w:rsidR="00AE3E37" w:rsidRDefault="001D4125">
      <w:pPr>
        <w:pStyle w:val="a3"/>
        <w:spacing w:before="2"/>
        <w:rPr>
          <w:rFonts w:ascii="Arial"/>
          <w:b/>
          <w:sz w:val="16"/>
        </w:rPr>
      </w:pPr>
      <w:r>
        <w:rPr>
          <w:noProof/>
          <w:lang w:eastAsia="ko-KR"/>
        </w:rPr>
        <w:drawing>
          <wp:inline distT="0" distB="0" distL="0" distR="0">
            <wp:extent cx="3165475" cy="2525924"/>
            <wp:effectExtent l="0" t="0" r="0" b="8255"/>
            <wp:docPr id="2" name="그림 2" descr="C:\Users\User\Desktop\CCT\체출\fig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CT\체출\figur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525924"/>
                    </a:xfrm>
                    <a:prstGeom prst="rect">
                      <a:avLst/>
                    </a:prstGeom>
                    <a:noFill/>
                    <a:ln>
                      <a:noFill/>
                    </a:ln>
                  </pic:spPr>
                </pic:pic>
              </a:graphicData>
            </a:graphic>
          </wp:inline>
        </w:drawing>
      </w:r>
    </w:p>
    <w:p w:rsidR="001D4125" w:rsidRPr="005E5FBD" w:rsidRDefault="001D4125" w:rsidP="005973B9">
      <w:pPr>
        <w:spacing w:line="204" w:lineRule="exact"/>
        <w:rPr>
          <w:rFonts w:eastAsiaTheme="minorEastAsia"/>
          <w:color w:val="000000" w:themeColor="text1"/>
          <w:sz w:val="18"/>
          <w:szCs w:val="18"/>
          <w:lang w:eastAsia="ko-KR"/>
        </w:rPr>
      </w:pPr>
      <w:proofErr w:type="gramStart"/>
      <w:r w:rsidRPr="005E5FBD">
        <w:rPr>
          <w:rFonts w:eastAsiaTheme="minorEastAsia"/>
          <w:color w:val="000000" w:themeColor="text1"/>
          <w:sz w:val="18"/>
          <w:szCs w:val="18"/>
          <w:lang w:eastAsia="ko-KR"/>
        </w:rPr>
        <w:t>Figure 1.</w:t>
      </w:r>
      <w:proofErr w:type="gramEnd"/>
      <w:r w:rsidRPr="005E5FBD">
        <w:rPr>
          <w:rFonts w:eastAsiaTheme="minorEastAsia"/>
          <w:color w:val="000000" w:themeColor="text1"/>
          <w:sz w:val="18"/>
          <w:szCs w:val="18"/>
          <w:lang w:eastAsia="ko-KR"/>
        </w:rPr>
        <w:t xml:space="preserve"> </w:t>
      </w:r>
      <w:proofErr w:type="gramStart"/>
      <w:r w:rsidRPr="005E5FBD">
        <w:rPr>
          <w:rFonts w:eastAsiaTheme="minorEastAsia"/>
          <w:color w:val="000000" w:themeColor="text1"/>
          <w:sz w:val="18"/>
          <w:szCs w:val="18"/>
          <w:lang w:eastAsia="ko-KR"/>
        </w:rPr>
        <w:t>Conceptual diagram of the core cognition therapy (CCT) four-stage pipeline and its neurophysiological mechanisms.</w:t>
      </w:r>
      <w:proofErr w:type="gramEnd"/>
      <w:r w:rsidRPr="005E5FBD">
        <w:rPr>
          <w:rFonts w:eastAsiaTheme="minorEastAsia"/>
          <w:color w:val="000000" w:themeColor="text1"/>
          <w:sz w:val="18"/>
          <w:szCs w:val="18"/>
          <w:lang w:eastAsia="ko-KR"/>
        </w:rPr>
        <w:t xml:space="preserve"> The diagram illustrates the causal chain from Panjabi's neural control disruption through guarding, </w:t>
      </w:r>
      <w:proofErr w:type="spellStart"/>
      <w:r w:rsidRPr="005E5FBD">
        <w:rPr>
          <w:rFonts w:eastAsiaTheme="minorEastAsia"/>
          <w:color w:val="000000" w:themeColor="text1"/>
          <w:sz w:val="18"/>
          <w:szCs w:val="18"/>
          <w:lang w:eastAsia="ko-KR"/>
        </w:rPr>
        <w:t>ideomotor</w:t>
      </w:r>
      <w:proofErr w:type="spellEnd"/>
      <w:r w:rsidRPr="005E5FBD">
        <w:rPr>
          <w:rFonts w:eastAsiaTheme="minorEastAsia"/>
          <w:color w:val="000000" w:themeColor="text1"/>
          <w:sz w:val="18"/>
          <w:szCs w:val="18"/>
          <w:lang w:eastAsia="ko-KR"/>
        </w:rPr>
        <w:t xml:space="preserve"> trigger, anticipatory postural adjustment (APA) restoration, to sensorimotor cognition consolidation. Stage 1 (Relaxation) dismantles superficial muscle guarding through behavioral experiments. Stage 2 (Intention/Task) introduces a weight-shift task intention that activates the </w:t>
      </w:r>
      <w:proofErr w:type="spellStart"/>
      <w:r w:rsidRPr="005E5FBD">
        <w:rPr>
          <w:rFonts w:eastAsiaTheme="minorEastAsia"/>
          <w:color w:val="000000" w:themeColor="text1"/>
          <w:sz w:val="18"/>
          <w:szCs w:val="18"/>
          <w:lang w:eastAsia="ko-KR"/>
        </w:rPr>
        <w:t>ideomotor</w:t>
      </w:r>
      <w:proofErr w:type="spellEnd"/>
      <w:r w:rsidRPr="005E5FBD">
        <w:rPr>
          <w:rFonts w:eastAsiaTheme="minorEastAsia"/>
          <w:color w:val="000000" w:themeColor="text1"/>
          <w:sz w:val="18"/>
          <w:szCs w:val="18"/>
          <w:lang w:eastAsia="ko-KR"/>
        </w:rPr>
        <w:t xml:space="preserve"> pathway without volitional contraction commands. Stage 3 (Auto-activation) depicts automatic </w:t>
      </w:r>
      <w:proofErr w:type="spellStart"/>
      <w:r w:rsidRPr="005E5FBD">
        <w:rPr>
          <w:rFonts w:eastAsiaTheme="minorEastAsia"/>
          <w:color w:val="000000" w:themeColor="text1"/>
          <w:sz w:val="18"/>
          <w:szCs w:val="18"/>
          <w:lang w:eastAsia="ko-KR"/>
        </w:rPr>
        <w:t>transversus</w:t>
      </w:r>
      <w:proofErr w:type="spellEnd"/>
      <w:r w:rsidRPr="005E5FBD">
        <w:rPr>
          <w:rFonts w:eastAsiaTheme="minorEastAsia"/>
          <w:color w:val="000000" w:themeColor="text1"/>
          <w:sz w:val="18"/>
          <w:szCs w:val="18"/>
          <w:lang w:eastAsia="ko-KR"/>
        </w:rPr>
        <w:t xml:space="preserve"> </w:t>
      </w:r>
      <w:proofErr w:type="spellStart"/>
      <w:r w:rsidRPr="005E5FBD">
        <w:rPr>
          <w:rFonts w:eastAsiaTheme="minorEastAsia"/>
          <w:color w:val="000000" w:themeColor="text1"/>
          <w:sz w:val="18"/>
          <w:szCs w:val="18"/>
          <w:lang w:eastAsia="ko-KR"/>
        </w:rPr>
        <w:t>abdominis</w:t>
      </w:r>
      <w:proofErr w:type="spellEnd"/>
      <w:r w:rsidRPr="005E5FBD">
        <w:rPr>
          <w:rFonts w:eastAsiaTheme="minorEastAsia"/>
          <w:color w:val="000000" w:themeColor="text1"/>
          <w:sz w:val="18"/>
          <w:szCs w:val="18"/>
          <w:lang w:eastAsia="ko-KR"/>
        </w:rPr>
        <w:t xml:space="preserve"> (</w:t>
      </w:r>
      <w:proofErr w:type="spellStart"/>
      <w:r w:rsidRPr="005E5FBD">
        <w:rPr>
          <w:rFonts w:eastAsiaTheme="minorEastAsia"/>
          <w:color w:val="000000" w:themeColor="text1"/>
          <w:sz w:val="18"/>
          <w:szCs w:val="18"/>
          <w:lang w:eastAsia="ko-KR"/>
        </w:rPr>
        <w:t>TrA</w:t>
      </w:r>
      <w:proofErr w:type="spellEnd"/>
      <w:r w:rsidRPr="005E5FBD">
        <w:rPr>
          <w:rFonts w:eastAsiaTheme="minorEastAsia"/>
          <w:color w:val="000000" w:themeColor="text1"/>
          <w:sz w:val="18"/>
          <w:szCs w:val="18"/>
          <w:lang w:eastAsia="ko-KR"/>
        </w:rPr>
        <w:t xml:space="preserve">) </w:t>
      </w:r>
      <w:proofErr w:type="spellStart"/>
      <w:r w:rsidRPr="005E5FBD">
        <w:rPr>
          <w:rFonts w:eastAsiaTheme="minorEastAsia"/>
          <w:color w:val="000000" w:themeColor="text1"/>
          <w:sz w:val="18"/>
          <w:szCs w:val="18"/>
          <w:lang w:eastAsia="ko-KR"/>
        </w:rPr>
        <w:t>feedforward</w:t>
      </w:r>
      <w:proofErr w:type="spellEnd"/>
      <w:r w:rsidRPr="005E5FBD">
        <w:rPr>
          <w:rFonts w:eastAsiaTheme="minorEastAsia"/>
          <w:color w:val="000000" w:themeColor="text1"/>
          <w:sz w:val="18"/>
          <w:szCs w:val="18"/>
          <w:lang w:eastAsia="ko-KR"/>
        </w:rPr>
        <w:t xml:space="preserve"> activation via the internal forward model. Stage 4 (Cognition) shows consolidation of sensorimotor awareness for integration into daily functional activities. Arrows indicate the sequential progression and mechanistic linkages between stages.</w:t>
      </w:r>
    </w:p>
    <w:p w:rsidR="001D4125" w:rsidRPr="005E5FBD" w:rsidRDefault="001D4125" w:rsidP="005973B9">
      <w:pPr>
        <w:spacing w:line="204" w:lineRule="exact"/>
        <w:rPr>
          <w:rFonts w:eastAsiaTheme="minorEastAsia"/>
          <w:color w:val="BF5A14"/>
          <w:sz w:val="18"/>
          <w:szCs w:val="18"/>
          <w:lang w:eastAsia="ko-KR"/>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870A4" w:rsidRPr="005870A4" w:rsidRDefault="005870A4" w:rsidP="005870A4">
      <w:pPr>
        <w:pStyle w:val="a4"/>
        <w:numPr>
          <w:ilvl w:val="0"/>
          <w:numId w:val="4"/>
        </w:numPr>
        <w:tabs>
          <w:tab w:val="left" w:pos="384"/>
        </w:tabs>
        <w:ind w:right="117"/>
        <w:rPr>
          <w:sz w:val="18"/>
        </w:rPr>
      </w:pPr>
      <w:r w:rsidRPr="005870A4">
        <w:rPr>
          <w:sz w:val="18"/>
        </w:rPr>
        <w:t xml:space="preserve">Panjabi MM (1992) </w:t>
      </w:r>
      <w:proofErr w:type="gramStart"/>
      <w:r w:rsidRPr="005870A4">
        <w:rPr>
          <w:sz w:val="18"/>
        </w:rPr>
        <w:t>The</w:t>
      </w:r>
      <w:proofErr w:type="gramEnd"/>
      <w:r w:rsidRPr="005870A4">
        <w:rPr>
          <w:sz w:val="18"/>
        </w:rPr>
        <w:t xml:space="preserve"> stabilizing system of the spine. Part I. Function, dysfunction, adaptation, and enhancement. J Spinal </w:t>
      </w:r>
      <w:proofErr w:type="spellStart"/>
      <w:r w:rsidRPr="005870A4">
        <w:rPr>
          <w:sz w:val="18"/>
        </w:rPr>
        <w:t>Disord</w:t>
      </w:r>
      <w:proofErr w:type="spellEnd"/>
      <w:r w:rsidRPr="005870A4">
        <w:rPr>
          <w:sz w:val="18"/>
        </w:rPr>
        <w:t xml:space="preserve"> 5:383-389.</w:t>
      </w:r>
    </w:p>
    <w:p w:rsidR="005870A4" w:rsidRPr="005870A4" w:rsidRDefault="005870A4" w:rsidP="005870A4">
      <w:pPr>
        <w:pStyle w:val="a4"/>
        <w:numPr>
          <w:ilvl w:val="0"/>
          <w:numId w:val="4"/>
        </w:numPr>
        <w:tabs>
          <w:tab w:val="left" w:pos="384"/>
        </w:tabs>
        <w:ind w:right="117"/>
        <w:rPr>
          <w:sz w:val="18"/>
        </w:rPr>
      </w:pPr>
      <w:r w:rsidRPr="005870A4">
        <w:rPr>
          <w:sz w:val="18"/>
        </w:rPr>
        <w:t xml:space="preserve">O'Sullivan PB, </w:t>
      </w:r>
      <w:proofErr w:type="spellStart"/>
      <w:r w:rsidRPr="005870A4">
        <w:rPr>
          <w:sz w:val="18"/>
        </w:rPr>
        <w:t>Caneiro</w:t>
      </w:r>
      <w:proofErr w:type="spellEnd"/>
      <w:r w:rsidRPr="005870A4">
        <w:rPr>
          <w:sz w:val="18"/>
        </w:rPr>
        <w:t xml:space="preserve"> JP, O'Keeffe M, et al. (2018) Cognitive functional therapy: an integrated behavioral approach for the targeted management of disabling low back pain. </w:t>
      </w:r>
      <w:proofErr w:type="spellStart"/>
      <w:r w:rsidRPr="005870A4">
        <w:rPr>
          <w:sz w:val="18"/>
        </w:rPr>
        <w:t>Phys</w:t>
      </w:r>
      <w:proofErr w:type="spellEnd"/>
      <w:r w:rsidRPr="005870A4">
        <w:rPr>
          <w:sz w:val="18"/>
        </w:rPr>
        <w:t xml:space="preserve"> </w:t>
      </w:r>
      <w:proofErr w:type="spellStart"/>
      <w:r w:rsidRPr="005870A4">
        <w:rPr>
          <w:sz w:val="18"/>
        </w:rPr>
        <w:t>Ther</w:t>
      </w:r>
      <w:proofErr w:type="spellEnd"/>
      <w:r w:rsidRPr="005870A4">
        <w:rPr>
          <w:sz w:val="18"/>
        </w:rPr>
        <w:t xml:space="preserve"> 98:408-423.</w:t>
      </w:r>
    </w:p>
    <w:p w:rsidR="005870A4" w:rsidRPr="005870A4" w:rsidRDefault="005870A4" w:rsidP="005870A4">
      <w:pPr>
        <w:pStyle w:val="a4"/>
        <w:numPr>
          <w:ilvl w:val="0"/>
          <w:numId w:val="4"/>
        </w:numPr>
        <w:tabs>
          <w:tab w:val="left" w:pos="384"/>
        </w:tabs>
        <w:ind w:right="117"/>
        <w:rPr>
          <w:sz w:val="18"/>
        </w:rPr>
      </w:pPr>
      <w:r w:rsidRPr="005870A4">
        <w:rPr>
          <w:sz w:val="18"/>
        </w:rPr>
        <w:t xml:space="preserve">Shin YK, Proctor RW, </w:t>
      </w:r>
      <w:proofErr w:type="spellStart"/>
      <w:r w:rsidRPr="005870A4">
        <w:rPr>
          <w:sz w:val="18"/>
        </w:rPr>
        <w:t>Capaldi</w:t>
      </w:r>
      <w:proofErr w:type="spellEnd"/>
      <w:r w:rsidRPr="005870A4">
        <w:rPr>
          <w:sz w:val="18"/>
        </w:rPr>
        <w:t xml:space="preserve"> EJ (2023) Strong evidence for </w:t>
      </w:r>
      <w:proofErr w:type="spellStart"/>
      <w:r w:rsidRPr="005870A4">
        <w:rPr>
          <w:sz w:val="18"/>
        </w:rPr>
        <w:t>ideomotor</w:t>
      </w:r>
      <w:proofErr w:type="spellEnd"/>
      <w:r w:rsidRPr="005870A4">
        <w:rPr>
          <w:sz w:val="18"/>
        </w:rPr>
        <w:t xml:space="preserve"> theory: unwilled manifestation of the idea through muscular execution. Front </w:t>
      </w:r>
      <w:proofErr w:type="spellStart"/>
      <w:r w:rsidRPr="005870A4">
        <w:rPr>
          <w:sz w:val="18"/>
        </w:rPr>
        <w:t>Psychol</w:t>
      </w:r>
      <w:proofErr w:type="spellEnd"/>
      <w:r w:rsidRPr="005870A4">
        <w:rPr>
          <w:sz w:val="18"/>
        </w:rPr>
        <w:t xml:space="preserve"> 14:1066839.</w:t>
      </w:r>
    </w:p>
    <w:p w:rsidR="005870A4" w:rsidRPr="005870A4" w:rsidRDefault="005870A4" w:rsidP="005870A4">
      <w:pPr>
        <w:pStyle w:val="a4"/>
        <w:numPr>
          <w:ilvl w:val="0"/>
          <w:numId w:val="4"/>
        </w:numPr>
        <w:tabs>
          <w:tab w:val="left" w:pos="384"/>
        </w:tabs>
        <w:ind w:right="117"/>
        <w:rPr>
          <w:sz w:val="18"/>
        </w:rPr>
      </w:pPr>
      <w:r w:rsidRPr="005870A4">
        <w:rPr>
          <w:sz w:val="18"/>
        </w:rPr>
        <w:t xml:space="preserve">Hodges PW, Richardson CA (1997) </w:t>
      </w:r>
      <w:proofErr w:type="spellStart"/>
      <w:r w:rsidRPr="005870A4">
        <w:rPr>
          <w:sz w:val="18"/>
        </w:rPr>
        <w:t>Feedforward</w:t>
      </w:r>
      <w:proofErr w:type="spellEnd"/>
      <w:r w:rsidRPr="005870A4">
        <w:rPr>
          <w:sz w:val="18"/>
        </w:rPr>
        <w:t xml:space="preserve"> contraction of </w:t>
      </w:r>
      <w:proofErr w:type="spellStart"/>
      <w:r w:rsidRPr="005870A4">
        <w:rPr>
          <w:sz w:val="18"/>
        </w:rPr>
        <w:t>transversus</w:t>
      </w:r>
      <w:proofErr w:type="spellEnd"/>
      <w:r w:rsidRPr="005870A4">
        <w:rPr>
          <w:sz w:val="18"/>
        </w:rPr>
        <w:t xml:space="preserve"> </w:t>
      </w:r>
      <w:proofErr w:type="spellStart"/>
      <w:r w:rsidRPr="005870A4">
        <w:rPr>
          <w:sz w:val="18"/>
        </w:rPr>
        <w:t>abdominis</w:t>
      </w:r>
      <w:proofErr w:type="spellEnd"/>
      <w:r w:rsidRPr="005870A4">
        <w:rPr>
          <w:sz w:val="18"/>
        </w:rPr>
        <w:t xml:space="preserve"> is not influenced by the direction of arm movement. </w:t>
      </w:r>
      <w:proofErr w:type="spellStart"/>
      <w:r w:rsidRPr="005870A4">
        <w:rPr>
          <w:sz w:val="18"/>
        </w:rPr>
        <w:t>Exp</w:t>
      </w:r>
      <w:proofErr w:type="spellEnd"/>
      <w:r w:rsidRPr="005870A4">
        <w:rPr>
          <w:sz w:val="18"/>
        </w:rPr>
        <w:t xml:space="preserve"> Brain Res 114:362-370.</w:t>
      </w:r>
    </w:p>
    <w:p w:rsidR="005870A4" w:rsidRPr="005870A4" w:rsidRDefault="005870A4" w:rsidP="005870A4">
      <w:pPr>
        <w:pStyle w:val="a4"/>
        <w:numPr>
          <w:ilvl w:val="0"/>
          <w:numId w:val="4"/>
        </w:numPr>
        <w:tabs>
          <w:tab w:val="left" w:pos="384"/>
        </w:tabs>
        <w:ind w:right="117"/>
        <w:rPr>
          <w:sz w:val="18"/>
        </w:rPr>
      </w:pPr>
      <w:proofErr w:type="spellStart"/>
      <w:r w:rsidRPr="005870A4">
        <w:rPr>
          <w:sz w:val="18"/>
        </w:rPr>
        <w:t>Mamaev</w:t>
      </w:r>
      <w:proofErr w:type="spellEnd"/>
      <w:r w:rsidRPr="005870A4">
        <w:rPr>
          <w:sz w:val="18"/>
        </w:rPr>
        <w:t xml:space="preserve"> VV, </w:t>
      </w:r>
      <w:proofErr w:type="spellStart"/>
      <w:r w:rsidRPr="005870A4">
        <w:rPr>
          <w:sz w:val="18"/>
        </w:rPr>
        <w:t>Boichuk</w:t>
      </w:r>
      <w:proofErr w:type="spellEnd"/>
      <w:r w:rsidRPr="005870A4">
        <w:rPr>
          <w:sz w:val="18"/>
        </w:rPr>
        <w:t xml:space="preserve"> EL, </w:t>
      </w:r>
      <w:proofErr w:type="spellStart"/>
      <w:r w:rsidRPr="005870A4">
        <w:rPr>
          <w:sz w:val="18"/>
        </w:rPr>
        <w:t>Smirnova</w:t>
      </w:r>
      <w:proofErr w:type="spellEnd"/>
      <w:r w:rsidRPr="005870A4">
        <w:rPr>
          <w:sz w:val="18"/>
        </w:rPr>
        <w:t xml:space="preserve"> NA (2025) </w:t>
      </w:r>
      <w:proofErr w:type="gramStart"/>
      <w:r w:rsidRPr="005870A4">
        <w:rPr>
          <w:sz w:val="18"/>
        </w:rPr>
        <w:t>The</w:t>
      </w:r>
      <w:proofErr w:type="gramEnd"/>
      <w:r w:rsidRPr="005870A4">
        <w:rPr>
          <w:sz w:val="18"/>
        </w:rPr>
        <w:t xml:space="preserve"> role of </w:t>
      </w:r>
      <w:proofErr w:type="spellStart"/>
      <w:r w:rsidRPr="005870A4">
        <w:rPr>
          <w:sz w:val="18"/>
        </w:rPr>
        <w:t>ideomotor</w:t>
      </w:r>
      <w:proofErr w:type="spellEnd"/>
      <w:r w:rsidRPr="005870A4">
        <w:rPr>
          <w:sz w:val="18"/>
        </w:rPr>
        <w:t xml:space="preserve"> representations in the displacement of the overall </w:t>
      </w:r>
      <w:proofErr w:type="spellStart"/>
      <w:r w:rsidRPr="005870A4">
        <w:rPr>
          <w:sz w:val="18"/>
        </w:rPr>
        <w:t>centre</w:t>
      </w:r>
      <w:proofErr w:type="spellEnd"/>
      <w:r w:rsidRPr="005870A4">
        <w:rPr>
          <w:sz w:val="18"/>
        </w:rPr>
        <w:t xml:space="preserve"> of mass. Theory and Practice of Physical Culture 11:36-38.</w:t>
      </w:r>
    </w:p>
    <w:p w:rsidR="005870A4" w:rsidRPr="005870A4" w:rsidRDefault="005870A4" w:rsidP="005870A4">
      <w:pPr>
        <w:pStyle w:val="a4"/>
        <w:numPr>
          <w:ilvl w:val="0"/>
          <w:numId w:val="4"/>
        </w:numPr>
        <w:tabs>
          <w:tab w:val="left" w:pos="384"/>
        </w:tabs>
        <w:ind w:right="117"/>
        <w:rPr>
          <w:sz w:val="18"/>
        </w:rPr>
      </w:pPr>
      <w:r w:rsidRPr="005870A4">
        <w:rPr>
          <w:sz w:val="18"/>
        </w:rPr>
        <w:t xml:space="preserve">Lee DY, Lee JB, Park SY, Kim HS (2024) </w:t>
      </w:r>
      <w:proofErr w:type="spellStart"/>
      <w:r w:rsidRPr="005870A4">
        <w:rPr>
          <w:sz w:val="18"/>
        </w:rPr>
        <w:t>Nonlaminotomy</w:t>
      </w:r>
      <w:proofErr w:type="spellEnd"/>
      <w:r w:rsidRPr="005870A4">
        <w:rPr>
          <w:sz w:val="18"/>
        </w:rPr>
        <w:t xml:space="preserve"> bilateral decompression: a novel approach in </w:t>
      </w:r>
      <w:proofErr w:type="spellStart"/>
      <w:r w:rsidRPr="005870A4">
        <w:rPr>
          <w:sz w:val="18"/>
        </w:rPr>
        <w:t>biportal</w:t>
      </w:r>
      <w:proofErr w:type="spellEnd"/>
      <w:r w:rsidRPr="005870A4">
        <w:rPr>
          <w:sz w:val="18"/>
        </w:rPr>
        <w:t xml:space="preserve"> endoscopic spine surgery for spinal stenosis. Asian Spine J </w:t>
      </w:r>
      <w:r w:rsidRPr="005870A4">
        <w:rPr>
          <w:sz w:val="18"/>
        </w:rPr>
        <w:lastRenderedPageBreak/>
        <w:t>18:867-875.</w:t>
      </w:r>
    </w:p>
    <w:p w:rsidR="005870A4" w:rsidRPr="005870A4" w:rsidRDefault="005870A4" w:rsidP="005870A4">
      <w:pPr>
        <w:pStyle w:val="a4"/>
        <w:numPr>
          <w:ilvl w:val="0"/>
          <w:numId w:val="4"/>
        </w:numPr>
        <w:tabs>
          <w:tab w:val="left" w:pos="384"/>
        </w:tabs>
        <w:ind w:right="117"/>
        <w:rPr>
          <w:sz w:val="18"/>
        </w:rPr>
      </w:pPr>
      <w:r w:rsidRPr="005870A4">
        <w:rPr>
          <w:sz w:val="18"/>
        </w:rPr>
        <w:t xml:space="preserve">Lee DY, Lee JB, Park SY, Jin HB, Kim HS, Kook SH (2025) </w:t>
      </w:r>
      <w:proofErr w:type="spellStart"/>
      <w:r w:rsidRPr="005870A4">
        <w:rPr>
          <w:sz w:val="18"/>
        </w:rPr>
        <w:t>Biportal</w:t>
      </w:r>
      <w:proofErr w:type="spellEnd"/>
      <w:r w:rsidRPr="005870A4">
        <w:rPr>
          <w:sz w:val="18"/>
        </w:rPr>
        <w:t xml:space="preserve"> endoscopic non-</w:t>
      </w:r>
      <w:proofErr w:type="spellStart"/>
      <w:r w:rsidRPr="005870A4">
        <w:rPr>
          <w:sz w:val="18"/>
        </w:rPr>
        <w:t>facetectomy</w:t>
      </w:r>
      <w:proofErr w:type="spellEnd"/>
      <w:r w:rsidRPr="005870A4">
        <w:rPr>
          <w:sz w:val="18"/>
        </w:rPr>
        <w:t xml:space="preserve"> </w:t>
      </w:r>
      <w:proofErr w:type="spellStart"/>
      <w:r w:rsidRPr="005870A4">
        <w:rPr>
          <w:sz w:val="18"/>
        </w:rPr>
        <w:t>foraminal</w:t>
      </w:r>
      <w:proofErr w:type="spellEnd"/>
      <w:r w:rsidRPr="005870A4">
        <w:rPr>
          <w:sz w:val="18"/>
        </w:rPr>
        <w:t xml:space="preserve"> decompression and discectomy: </w:t>
      </w:r>
      <w:proofErr w:type="spellStart"/>
      <w:r w:rsidRPr="005870A4">
        <w:rPr>
          <w:sz w:val="18"/>
        </w:rPr>
        <w:t>ligamentum</w:t>
      </w:r>
      <w:proofErr w:type="spellEnd"/>
      <w:r w:rsidRPr="005870A4">
        <w:rPr>
          <w:sz w:val="18"/>
        </w:rPr>
        <w:t xml:space="preserve"> </w:t>
      </w:r>
      <w:proofErr w:type="spellStart"/>
      <w:r w:rsidRPr="005870A4">
        <w:rPr>
          <w:sz w:val="18"/>
        </w:rPr>
        <w:t>flavum</w:t>
      </w:r>
      <w:proofErr w:type="spellEnd"/>
      <w:r w:rsidRPr="005870A4">
        <w:rPr>
          <w:sz w:val="18"/>
        </w:rPr>
        <w:t xml:space="preserve"> turn-</w:t>
      </w:r>
      <w:r w:rsidRPr="005870A4">
        <w:rPr>
          <w:sz w:val="18"/>
        </w:rPr>
        <w:lastRenderedPageBreak/>
        <w:t>down technique. Asian Spine J 19:259-266.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70A4" w:rsidRDefault="008756E6" w:rsidP="00404E5B">
      <w:pPr>
        <w:spacing w:before="92"/>
        <w:ind w:right="4234"/>
        <w:rPr>
          <w:rFonts w:eastAsiaTheme="minorEastAsia" w:hint="eastAsia"/>
          <w:noProof/>
          <w:lang w:eastAsia="ko-KR"/>
        </w:rPr>
      </w:pPr>
      <w:r>
        <w:rPr>
          <w:noProof/>
        </w:rPr>
        <w:t xml:space="preserve"> </w:t>
      </w:r>
      <w:r w:rsidR="005870A4">
        <w:rPr>
          <w:noProof/>
          <w:lang w:eastAsia="ko-KR"/>
        </w:rPr>
        <w:drawing>
          <wp:inline distT="0" distB="0" distL="0" distR="0">
            <wp:extent cx="1072800" cy="1256400"/>
            <wp:effectExtent l="0" t="0" r="0" b="1270"/>
            <wp:docPr id="3" name="그림 3" descr="C:\Users\User\Desktop\CCT\체출\이대영 사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CT\체출\이대영 사진.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2800" cy="125640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5870A4">
      <w:pPr>
        <w:spacing w:before="41" w:line="154" w:lineRule="exact"/>
        <w:ind w:left="213" w:right="231"/>
        <w:jc w:val="both"/>
        <w:rPr>
          <w:rFonts w:ascii="Arial"/>
          <w:sz w:val="14"/>
        </w:rPr>
      </w:pPr>
      <w:r w:rsidRPr="005870A4">
        <w:rPr>
          <w:rFonts w:ascii="Arial"/>
          <w:sz w:val="14"/>
        </w:rPr>
        <w:t xml:space="preserve">Dr. </w:t>
      </w:r>
      <w:proofErr w:type="spellStart"/>
      <w:r w:rsidRPr="005870A4">
        <w:rPr>
          <w:rFonts w:ascii="Arial"/>
          <w:sz w:val="14"/>
        </w:rPr>
        <w:t>Dae</w:t>
      </w:r>
      <w:proofErr w:type="spellEnd"/>
      <w:r w:rsidRPr="005870A4">
        <w:rPr>
          <w:rFonts w:ascii="Arial"/>
          <w:sz w:val="14"/>
        </w:rPr>
        <w:t xml:space="preserve">-Young Lee is an orthopedic spine surgeon at </w:t>
      </w:r>
      <w:proofErr w:type="spellStart"/>
      <w:r w:rsidRPr="005870A4">
        <w:rPr>
          <w:rFonts w:ascii="Arial"/>
          <w:sz w:val="14"/>
        </w:rPr>
        <w:t>SaeGil</w:t>
      </w:r>
      <w:proofErr w:type="spellEnd"/>
      <w:r w:rsidRPr="005870A4">
        <w:rPr>
          <w:rFonts w:ascii="Arial"/>
          <w:sz w:val="14"/>
        </w:rPr>
        <w:t xml:space="preserve"> Hospital, Seoul, Republic of Korea, specializing in </w:t>
      </w:r>
      <w:proofErr w:type="spellStart"/>
      <w:r w:rsidRPr="005870A4">
        <w:rPr>
          <w:rFonts w:ascii="Arial"/>
          <w:sz w:val="14"/>
        </w:rPr>
        <w:t>biportal</w:t>
      </w:r>
      <w:proofErr w:type="spellEnd"/>
      <w:r w:rsidRPr="005870A4">
        <w:rPr>
          <w:rFonts w:ascii="Arial"/>
          <w:sz w:val="14"/>
        </w:rPr>
        <w:t xml:space="preserve"> endoscopic spine surgery and spinal rehabilitation. He developed two novel minimally invasive techniques</w:t>
      </w:r>
      <w:r w:rsidRPr="005870A4">
        <w:rPr>
          <w:rFonts w:ascii="Arial"/>
          <w:sz w:val="14"/>
        </w:rPr>
        <w:t>—</w:t>
      </w:r>
      <w:proofErr w:type="spellStart"/>
      <w:r w:rsidRPr="005870A4">
        <w:rPr>
          <w:rFonts w:ascii="Arial"/>
          <w:sz w:val="14"/>
        </w:rPr>
        <w:t>Nonlaminotomy</w:t>
      </w:r>
      <w:proofErr w:type="spellEnd"/>
      <w:r w:rsidRPr="005870A4">
        <w:rPr>
          <w:rFonts w:ascii="Arial"/>
          <w:sz w:val="14"/>
        </w:rPr>
        <w:t xml:space="preserve"> Bilateral Decompression (NLBD) and Non-</w:t>
      </w:r>
      <w:proofErr w:type="spellStart"/>
      <w:r w:rsidRPr="005870A4">
        <w:rPr>
          <w:rFonts w:ascii="Arial"/>
          <w:sz w:val="14"/>
        </w:rPr>
        <w:t>Facetectomy</w:t>
      </w:r>
      <w:proofErr w:type="spellEnd"/>
      <w:r w:rsidRPr="005870A4">
        <w:rPr>
          <w:rFonts w:ascii="Arial"/>
          <w:sz w:val="14"/>
        </w:rPr>
        <w:t xml:space="preserve"> </w:t>
      </w:r>
      <w:proofErr w:type="spellStart"/>
      <w:r w:rsidRPr="005870A4">
        <w:rPr>
          <w:rFonts w:ascii="Arial"/>
          <w:sz w:val="14"/>
        </w:rPr>
        <w:t>Foraminal</w:t>
      </w:r>
      <w:proofErr w:type="spellEnd"/>
      <w:r w:rsidRPr="005870A4">
        <w:rPr>
          <w:rFonts w:ascii="Arial"/>
          <w:sz w:val="14"/>
        </w:rPr>
        <w:t xml:space="preserve"> Decompression (NFFD)</w:t>
      </w:r>
      <w:r w:rsidRPr="005870A4">
        <w:rPr>
          <w:rFonts w:ascii="Arial"/>
          <w:sz w:val="14"/>
        </w:rPr>
        <w:t>—</w:t>
      </w:r>
      <w:r w:rsidRPr="005870A4">
        <w:rPr>
          <w:rFonts w:ascii="Arial"/>
          <w:sz w:val="14"/>
        </w:rPr>
        <w:t xml:space="preserve">both published in the Asian Spine Journal. His clinical observation that patients who relaxed superficial trunk guarding after minimally invasive decompression recovered faster than those with persistent co-contraction led to the conceptualization of Core Cognition Therapy (CCT), a hypothesis integrating </w:t>
      </w:r>
      <w:proofErr w:type="spellStart"/>
      <w:r w:rsidRPr="005870A4">
        <w:rPr>
          <w:rFonts w:ascii="Arial"/>
          <w:sz w:val="14"/>
        </w:rPr>
        <w:t>ideomotor</w:t>
      </w:r>
      <w:proofErr w:type="spellEnd"/>
      <w:r w:rsidRPr="005870A4">
        <w:rPr>
          <w:rFonts w:ascii="Arial"/>
          <w:sz w:val="14"/>
        </w:rPr>
        <w:t xml:space="preserve"> theory with anticipatory postural adjustment physiology. Dr. Lee's research bridges the gap between surgical innovation and rehabilitation science, aiming to establish a unified framework for postoperative spinal recovery. He is committed to advancing evidence-based, patient-centered spine care through both technical surgical refinement and mechanistic rehabilitation research.</w:t>
      </w:r>
      <w:r>
        <w:rPr>
          <w:rFonts w:ascii="Arial" w:eastAsiaTheme="minorEastAsia" w:hint="eastAsia"/>
          <w:sz w:val="14"/>
          <w:lang w:eastAsia="ko-KR"/>
        </w:rPr>
        <w:t xml:space="preserve"> </w:t>
      </w:r>
    </w:p>
    <w:p w:rsidR="00AE3E37" w:rsidRDefault="00A9710C">
      <w:pPr>
        <w:spacing w:before="62"/>
        <w:ind w:left="4217" w:right="4235"/>
        <w:jc w:val="center"/>
        <w:rPr>
          <w:rFonts w:ascii="Arial"/>
          <w:sz w:val="14"/>
        </w:rPr>
      </w:pPr>
      <w:r>
        <w:rPr>
          <w:rFonts w:ascii="Arial"/>
          <w:sz w:val="14"/>
        </w:rPr>
        <w:t>Email:</w:t>
      </w:r>
      <w:r w:rsidR="005870A4">
        <w:rPr>
          <w:rFonts w:ascii="Arial" w:eastAsiaTheme="minorEastAsia" w:hint="eastAsia"/>
          <w:sz w:val="14"/>
          <w:lang w:eastAsia="ko-KR"/>
        </w:rPr>
        <w:t xml:space="preserve"> </w:t>
      </w:r>
      <w:r w:rsidR="005870A4" w:rsidRPr="005870A4">
        <w:rPr>
          <w:rFonts w:ascii="Arial" w:eastAsiaTheme="minorEastAsia"/>
          <w:sz w:val="14"/>
          <w:lang w:eastAsia="ko-KR"/>
        </w:rPr>
        <w:t>saegil2015@gmail.com</w:t>
      </w:r>
      <w:r>
        <w:rPr>
          <w:rFonts w:ascii="Arial"/>
          <w:sz w:val="14"/>
        </w:rPr>
        <w:t xml:space="preserve"> </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007" w:rsidRDefault="00362007">
      <w:r>
        <w:separator/>
      </w:r>
    </w:p>
  </w:endnote>
  <w:endnote w:type="continuationSeparator" w:id="0">
    <w:p w:rsidR="00362007" w:rsidRDefault="0036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007" w:rsidRDefault="00362007">
      <w:r>
        <w:separator/>
      </w:r>
    </w:p>
  </w:footnote>
  <w:footnote w:type="continuationSeparator" w:id="0">
    <w:p w:rsidR="00362007" w:rsidRDefault="003620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3A1061"/>
    <w:multiLevelType w:val="hybridMultilevel"/>
    <w:tmpl w:val="44A261BA"/>
    <w:lvl w:ilvl="0" w:tplc="DD0A7350">
      <w:start w:val="1"/>
      <w:numFmt w:val="decimal"/>
      <w:lvlText w:val="%1."/>
      <w:lvlJc w:val="left"/>
      <w:pPr>
        <w:ind w:left="760" w:hanging="360"/>
      </w:pPr>
      <w:rPr>
        <w:rFonts w:eastAsiaTheme="minorEastAsia"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4125"/>
    <w:rsid w:val="001E763C"/>
    <w:rsid w:val="00292ED9"/>
    <w:rsid w:val="00314AFB"/>
    <w:rsid w:val="00362007"/>
    <w:rsid w:val="003B76D9"/>
    <w:rsid w:val="00404E5B"/>
    <w:rsid w:val="00414F7B"/>
    <w:rsid w:val="004355DC"/>
    <w:rsid w:val="004749B4"/>
    <w:rsid w:val="00485A98"/>
    <w:rsid w:val="00494130"/>
    <w:rsid w:val="004F3523"/>
    <w:rsid w:val="005870A4"/>
    <w:rsid w:val="005973B9"/>
    <w:rsid w:val="005B3A56"/>
    <w:rsid w:val="005E5FBD"/>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6728869">
      <w:bodyDiv w:val="1"/>
      <w:marLeft w:val="0"/>
      <w:marRight w:val="0"/>
      <w:marTop w:val="0"/>
      <w:marBottom w:val="0"/>
      <w:divBdr>
        <w:top w:val="none" w:sz="0" w:space="0" w:color="auto"/>
        <w:left w:val="none" w:sz="0" w:space="0" w:color="auto"/>
        <w:bottom w:val="none" w:sz="0" w:space="0" w:color="auto"/>
        <w:right w:val="none" w:sz="0" w:space="0" w:color="auto"/>
      </w:divBdr>
      <w:divsChild>
        <w:div w:id="298927187">
          <w:blockQuote w:val="1"/>
          <w:marLeft w:val="0"/>
          <w:marRight w:val="0"/>
          <w:marTop w:val="0"/>
          <w:marBottom w:val="384"/>
          <w:divBdr>
            <w:top w:val="single" w:sz="2" w:space="0" w:color="auto"/>
            <w:left w:val="single" w:sz="2" w:space="0" w:color="auto"/>
            <w:bottom w:val="single" w:sz="2" w:space="0" w:color="auto"/>
            <w:right w:val="single" w:sz="2" w:space="0" w:color="auto"/>
          </w:divBdr>
        </w:div>
      </w:divsChild>
    </w:div>
    <w:div w:id="802891311">
      <w:bodyDiv w:val="1"/>
      <w:marLeft w:val="0"/>
      <w:marRight w:val="0"/>
      <w:marTop w:val="0"/>
      <w:marBottom w:val="0"/>
      <w:divBdr>
        <w:top w:val="none" w:sz="0" w:space="0" w:color="auto"/>
        <w:left w:val="none" w:sz="0" w:space="0" w:color="auto"/>
        <w:bottom w:val="none" w:sz="0" w:space="0" w:color="auto"/>
        <w:right w:val="none" w:sz="0" w:space="0" w:color="auto"/>
      </w:divBdr>
    </w:div>
    <w:div w:id="124669253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891</Words>
  <Characters>5085</Characters>
  <Application>Microsoft Office Word</Application>
  <DocSecurity>0</DocSecurity>
  <Lines>42</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2026-02-23T14:37:00Z</dcterms:created>
  <dcterms:modified xsi:type="dcterms:W3CDTF">2026-02-23T14:37:00Z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