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10F14" w:rsidP="003200A9">
      <w:pPr>
        <w:pStyle w:val="Titre1"/>
        <w:spacing w:before="170"/>
        <w:ind w:left="0"/>
      </w:pPr>
      <w:r>
        <w:rPr>
          <w:color w:val="337AB7"/>
        </w:rPr>
        <w:t>Synthesis of (Ti,Cr)C and (Ti,W)C solid solutions powders by mechanical alloying</w:t>
      </w:r>
      <w:r w:rsidR="00A9710C">
        <w:rPr>
          <w:color w:val="337AB7"/>
        </w:rPr>
        <w:t xml:space="preserve">: </w:t>
      </w:r>
      <w:r w:rsidR="0049285D">
        <w:rPr>
          <w:color w:val="337AB7"/>
        </w:rPr>
        <w:t xml:space="preserve">Application for cutting tools </w:t>
      </w:r>
    </w:p>
    <w:p w:rsidR="0099686A" w:rsidRPr="0099686A" w:rsidRDefault="0078738A" w:rsidP="0099686A">
      <w:pPr>
        <w:pStyle w:val="Corpsdetexte"/>
        <w:spacing w:before="73" w:line="198" w:lineRule="exact"/>
        <w:ind w:left="100" w:right="5987"/>
        <w:rPr>
          <w:rFonts w:ascii="Arial"/>
        </w:rPr>
      </w:pPr>
      <w:r>
        <w:rPr>
          <w:rFonts w:ascii="Arial"/>
        </w:rPr>
        <w:t xml:space="preserve">Dr </w:t>
      </w:r>
      <w:r w:rsidR="0099686A">
        <w:rPr>
          <w:rFonts w:ascii="Arial"/>
        </w:rPr>
        <w:t>MOHSEN MHADHBI</w:t>
      </w:r>
      <w:r w:rsidR="005973B9">
        <w:rPr>
          <w:rFonts w:ascii="Arial"/>
        </w:rPr>
        <w:t xml:space="preserve">, </w:t>
      </w:r>
      <w:r w:rsidR="0099686A">
        <w:rPr>
          <w:rFonts w:ascii="Arial"/>
        </w:rPr>
        <w:t>T</w:t>
      </w:r>
      <w:r w:rsidR="005973B9">
        <w:rPr>
          <w:rFonts w:ascii="Arial"/>
        </w:rPr>
        <w:t xml:space="preserve">N PhD, </w:t>
      </w:r>
      <w:r w:rsidR="0099686A" w:rsidRPr="0099686A">
        <w:rPr>
          <w:rFonts w:ascii="Arial"/>
        </w:rPr>
        <w:t>Laboratory of Useful Materials</w:t>
      </w:r>
      <w:r w:rsidR="0099686A">
        <w:rPr>
          <w:rFonts w:ascii="Arial"/>
        </w:rPr>
        <w:t xml:space="preserve">, </w:t>
      </w:r>
      <w:r w:rsidR="0099686A" w:rsidRPr="0099686A">
        <w:rPr>
          <w:rFonts w:ascii="Arial"/>
        </w:rPr>
        <w:t xml:space="preserve">National Institute of </w:t>
      </w:r>
      <w:r w:rsidR="0099686A">
        <w:rPr>
          <w:rFonts w:ascii="Arial"/>
        </w:rPr>
        <w:t>R</w:t>
      </w:r>
      <w:r w:rsidR="0099686A" w:rsidRPr="0099686A">
        <w:rPr>
          <w:rFonts w:ascii="Arial"/>
        </w:rPr>
        <w:t>esearch and Physical-chemical Analysis</w:t>
      </w:r>
      <w:r w:rsidR="0099686A">
        <w:rPr>
          <w:rFonts w:ascii="Arial"/>
        </w:rPr>
        <w:t xml:space="preserve">, </w:t>
      </w:r>
      <w:r w:rsidR="0099686A" w:rsidRPr="0099686A">
        <w:rPr>
          <w:rFonts w:ascii="Arial"/>
        </w:rPr>
        <w:t>Technopole, Sidi Thabet 2020 Ariana</w:t>
      </w:r>
      <w:r w:rsidR="0099686A">
        <w:rPr>
          <w:rFonts w:ascii="Arial"/>
        </w:rPr>
        <w:t>, TUNISIA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CA1536">
      <w:pPr>
        <w:pStyle w:val="Titre3"/>
        <w:spacing w:before="147"/>
        <w:jc w:val="both"/>
      </w:pPr>
      <w:r>
        <w:rPr>
          <w:color w:val="BF5A14"/>
        </w:rPr>
        <w:lastRenderedPageBreak/>
        <w:t>Abstract</w:t>
      </w:r>
      <w:r w:rsidR="00404E5B">
        <w:rPr>
          <w:color w:val="BF5A14"/>
        </w:rPr>
        <w:t xml:space="preserve"> </w:t>
      </w:r>
    </w:p>
    <w:p w:rsidR="00FF743E" w:rsidRDefault="00FD4DDE" w:rsidP="00CA1536">
      <w:pPr>
        <w:pStyle w:val="Corpsdetexte"/>
        <w:spacing w:before="90" w:line="280" w:lineRule="auto"/>
        <w:ind w:left="100"/>
        <w:jc w:val="both"/>
      </w:pPr>
      <w:r>
        <w:t xml:space="preserve">TiC- and Ti(CN)-based cermets have been used as cutting tool materials because of their attractive mechanical properties. </w:t>
      </w:r>
      <w:r w:rsidR="00CA1536">
        <w:t>In this work, s</w:t>
      </w:r>
      <w:r w:rsidR="00E95FAA">
        <w:t>olid solution nanocrystalline powders, (Ti,Cr)C and (Ti,W)C, were prepared by mechanical alloying (MA) from a mixture of elemental Ti, Cr, C and Ti, W, C powders, respectively. Mechanical alloying were carried out in a planetary ball mill (Fritsch pulverisette 7), at room temperature.</w:t>
      </w:r>
      <w:r w:rsidR="00544FD8">
        <w:t xml:space="preserve"> </w:t>
      </w:r>
      <w:r w:rsidR="00FF743E">
        <w:t>The</w:t>
      </w:r>
      <w:r w:rsidR="00544FD8">
        <w:t xml:space="preserve"> powders were MA for 20 hours under argon</w:t>
      </w:r>
      <w:r w:rsidR="00FF743E">
        <w:t xml:space="preserve"> atmosphere</w:t>
      </w:r>
      <w:r w:rsidR="00544FD8">
        <w:t xml:space="preserve">. </w:t>
      </w:r>
      <w:r w:rsidR="00FF743E">
        <w:t>The MA powders were analyzed by X-ray diffraction (XRD), scanning electron microscopy (SEM) and transmission electron microscopy (TEM). The experimental results indicate the formation of nanocrystalline (Ti,Cr)C and (Ti,W)C</w:t>
      </w:r>
      <w:r w:rsidR="00E95FAA">
        <w:t xml:space="preserve"> </w:t>
      </w:r>
      <w:r w:rsidR="00FF743E">
        <w:t>solid solutions</w:t>
      </w:r>
      <w:r w:rsidR="00482A63">
        <w:t xml:space="preserve"> with a mean crystallite size of 20 and 15 nm, respectively</w:t>
      </w:r>
      <w:r w:rsidR="00FF743E">
        <w:t xml:space="preserve">. </w:t>
      </w:r>
      <w:r w:rsidR="00366468">
        <w:t>The short diffusion path and the presence of defects induced during milling accelerated the solid state reaction.</w:t>
      </w:r>
    </w:p>
    <w:p w:rsidR="00CA1536" w:rsidRDefault="00CA1536" w:rsidP="00CA1536">
      <w:pPr>
        <w:pStyle w:val="Corpsdetexte"/>
        <w:spacing w:before="90" w:line="280" w:lineRule="auto"/>
        <w:ind w:left="100"/>
        <w:jc w:val="both"/>
      </w:pPr>
    </w:p>
    <w:p w:rsidR="00AE3E37" w:rsidRDefault="00A9710C">
      <w:pPr>
        <w:pStyle w:val="Titre3"/>
        <w:spacing w:before="74"/>
      </w:pPr>
      <w:r>
        <w:rPr>
          <w:color w:val="BF5A14"/>
        </w:rPr>
        <w:t>Image</w:t>
      </w:r>
    </w:p>
    <w:p w:rsidR="00AE3E37" w:rsidRDefault="00AE3E37">
      <w:pPr>
        <w:pStyle w:val="Corpsdetexte"/>
        <w:spacing w:before="2"/>
        <w:rPr>
          <w:rFonts w:ascii="Arial"/>
          <w:b/>
          <w:sz w:val="16"/>
        </w:rPr>
      </w:pPr>
    </w:p>
    <w:p w:rsidR="00374192" w:rsidRDefault="00CA1536">
      <w:pPr>
        <w:pStyle w:val="Corpsdetexte"/>
        <w:spacing w:before="2"/>
        <w:rPr>
          <w:rFonts w:ascii="Arial"/>
          <w:b/>
          <w:sz w:val="16"/>
        </w:rPr>
      </w:pPr>
      <w:r>
        <w:rPr>
          <w:rFonts w:ascii="Arial"/>
          <w:b/>
          <w:noProof/>
          <w:sz w:val="16"/>
          <w:lang w:val="fr-FR" w:eastAsia="fr-FR"/>
        </w:rPr>
        <w:drawing>
          <wp:anchor distT="0" distB="0" distL="114300" distR="114300" simplePos="0" relativeHeight="251660288" behindDoc="0" locked="0" layoutInCell="1" allowOverlap="1">
            <wp:simplePos x="0" y="0"/>
            <wp:positionH relativeFrom="column">
              <wp:posOffset>122555</wp:posOffset>
            </wp:positionH>
            <wp:positionV relativeFrom="paragraph">
              <wp:posOffset>27940</wp:posOffset>
            </wp:positionV>
            <wp:extent cx="3169920" cy="1623695"/>
            <wp:effectExtent l="1905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tretch>
                      <a:fillRect/>
                    </a:stretch>
                  </pic:blipFill>
                  <pic:spPr bwMode="auto">
                    <a:xfrm>
                      <a:off x="0" y="0"/>
                      <a:ext cx="3169920" cy="1623695"/>
                    </a:xfrm>
                    <a:prstGeom prst="rect">
                      <a:avLst/>
                    </a:prstGeom>
                    <a:noFill/>
                    <a:ln w="9525">
                      <a:noFill/>
                      <a:miter lim="800000"/>
                      <a:headEnd/>
                      <a:tailEnd/>
                    </a:ln>
                  </pic:spPr>
                </pic:pic>
              </a:graphicData>
            </a:graphic>
          </wp:anchor>
        </w:drawing>
      </w: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pPr>
        <w:pStyle w:val="Corpsdetexte"/>
        <w:spacing w:before="2"/>
        <w:rPr>
          <w:rFonts w:ascii="Arial"/>
          <w:b/>
          <w:sz w:val="16"/>
        </w:rPr>
      </w:pPr>
    </w:p>
    <w:p w:rsidR="00374192" w:rsidRDefault="00374192" w:rsidP="005973B9">
      <w:pPr>
        <w:spacing w:line="204" w:lineRule="exact"/>
        <w:rPr>
          <w:rFonts w:ascii="Arial"/>
          <w:b/>
          <w:color w:val="BF5A14"/>
          <w:sz w:val="20"/>
        </w:rPr>
      </w:pPr>
    </w:p>
    <w:p w:rsidR="00374192" w:rsidRDefault="00374192" w:rsidP="005973B9">
      <w:pPr>
        <w:spacing w:line="204" w:lineRule="exact"/>
        <w:rPr>
          <w:rFonts w:ascii="Arial"/>
          <w:b/>
          <w:color w:val="BF5A14"/>
          <w:sz w:val="20"/>
        </w:rPr>
      </w:pPr>
    </w:p>
    <w:p w:rsidR="00374192" w:rsidRDefault="00374192" w:rsidP="005973B9">
      <w:pPr>
        <w:spacing w:line="204" w:lineRule="exact"/>
        <w:rPr>
          <w:rFonts w:ascii="Arial"/>
          <w:b/>
          <w:color w:val="BF5A14"/>
          <w:sz w:val="20"/>
        </w:rPr>
      </w:pPr>
    </w:p>
    <w:p w:rsidR="00374192" w:rsidRDefault="00374192" w:rsidP="005973B9">
      <w:pPr>
        <w:spacing w:line="204" w:lineRule="exact"/>
        <w:rPr>
          <w:rFonts w:ascii="Arial"/>
          <w:b/>
          <w:color w:val="BF5A14"/>
          <w:sz w:val="20"/>
        </w:rPr>
      </w:pPr>
    </w:p>
    <w:p w:rsidR="00CA1536" w:rsidRDefault="00CA1536" w:rsidP="005973B9">
      <w:pPr>
        <w:spacing w:line="204" w:lineRule="exact"/>
        <w:rPr>
          <w:rFonts w:ascii="Arial"/>
          <w:b/>
          <w:color w:val="BF5A14"/>
          <w:sz w:val="20"/>
        </w:rPr>
      </w:pPr>
    </w:p>
    <w:p w:rsidR="00CA1536" w:rsidRDefault="00CA1536" w:rsidP="005973B9">
      <w:pPr>
        <w:spacing w:line="204" w:lineRule="exact"/>
        <w:rPr>
          <w:rFonts w:ascii="Arial"/>
          <w:b/>
          <w:color w:val="BF5A14"/>
          <w:sz w:val="20"/>
        </w:rPr>
      </w:pPr>
    </w:p>
    <w:p w:rsidR="00CA1536" w:rsidRDefault="00CA1536" w:rsidP="005973B9">
      <w:pPr>
        <w:spacing w:line="204" w:lineRule="exact"/>
        <w:rPr>
          <w:rFonts w:ascii="Arial"/>
          <w:b/>
          <w:color w:val="BF5A14"/>
          <w:sz w:val="20"/>
        </w:rPr>
      </w:pPr>
    </w:p>
    <w:p w:rsidR="005973B9" w:rsidRDefault="005973B9" w:rsidP="00CA1536">
      <w:pPr>
        <w:spacing w:line="204" w:lineRule="exact"/>
        <w:rPr>
          <w:rFonts w:ascii="Arial"/>
          <w:b/>
          <w:sz w:val="20"/>
        </w:rPr>
      </w:pPr>
      <w:r>
        <w:rPr>
          <w:rFonts w:ascii="Arial"/>
          <w:b/>
          <w:color w:val="BF5A14"/>
          <w:sz w:val="20"/>
        </w:rPr>
        <w:t xml:space="preserve">Recent Publications </w:t>
      </w:r>
    </w:p>
    <w:p w:rsidR="00B62FF0" w:rsidRPr="00B62FF0" w:rsidRDefault="004A48B0" w:rsidP="00B62FF0">
      <w:pPr>
        <w:pStyle w:val="Default"/>
        <w:numPr>
          <w:ilvl w:val="0"/>
          <w:numId w:val="3"/>
        </w:numPr>
        <w:spacing w:line="216" w:lineRule="exact"/>
        <w:ind w:left="386" w:hanging="283"/>
        <w:jc w:val="both"/>
        <w:rPr>
          <w:sz w:val="18"/>
          <w:lang w:val="en-US"/>
        </w:rPr>
      </w:pPr>
      <w:r w:rsidRPr="00B62FF0">
        <w:rPr>
          <w:rFonts w:ascii="Calibri" w:eastAsia="Calibri" w:hAnsi="Calibri" w:cs="Calibri"/>
          <w:color w:val="auto"/>
          <w:sz w:val="18"/>
          <w:szCs w:val="22"/>
          <w:lang w:val="en-US"/>
        </w:rPr>
        <w:t>Krifa M, Mhadhbi M, Escoda L, Saurina J, Suñol JJ, Llorca-Isern N, Artieda-Guzmán C, Khitouni M (2013) Phase transformations during mechanical alloying of Fe–30%Al–20%Cu, Powder Technology 246: 117</w:t>
      </w:r>
      <w:r w:rsidR="00B62FF0" w:rsidRPr="00B62FF0">
        <w:rPr>
          <w:rFonts w:ascii="Calibri" w:eastAsia="Calibri" w:hAnsi="Calibri" w:cs="Calibri"/>
          <w:color w:val="auto"/>
          <w:sz w:val="18"/>
          <w:szCs w:val="22"/>
          <w:lang w:val="en-US"/>
        </w:rPr>
        <w:t>-</w:t>
      </w:r>
      <w:r w:rsidRPr="00B62FF0">
        <w:rPr>
          <w:rFonts w:ascii="Calibri" w:eastAsia="Calibri" w:hAnsi="Calibri" w:cs="Calibri"/>
          <w:color w:val="auto"/>
          <w:sz w:val="18"/>
          <w:szCs w:val="22"/>
          <w:lang w:val="en-US"/>
        </w:rPr>
        <w:t xml:space="preserve">124. </w:t>
      </w:r>
    </w:p>
    <w:p w:rsidR="00B62FF0" w:rsidRPr="00FD4DDE" w:rsidRDefault="003544AE" w:rsidP="005973B9">
      <w:pPr>
        <w:pStyle w:val="Default"/>
        <w:numPr>
          <w:ilvl w:val="0"/>
          <w:numId w:val="3"/>
        </w:numPr>
        <w:spacing w:before="92" w:line="218" w:lineRule="exact"/>
        <w:ind w:hanging="283"/>
        <w:jc w:val="both"/>
        <w:rPr>
          <w:sz w:val="18"/>
          <w:lang w:val="en-US"/>
        </w:rPr>
      </w:pPr>
      <w:r w:rsidRPr="00B62FF0">
        <w:rPr>
          <w:rFonts w:ascii="Calibri" w:eastAsia="Calibri" w:hAnsi="Calibri" w:cs="Calibri"/>
          <w:color w:val="auto"/>
          <w:sz w:val="18"/>
          <w:szCs w:val="22"/>
          <w:lang w:val="en-US"/>
        </w:rPr>
        <w:t xml:space="preserve">Sekri A, Mhadhbi M, Escoda L, Suñol JJ, Khitouni M, Makhlouf T (2015)Synthesis and structural characterization of nanocrystalline Fe-Ni-Zr-B alloy prepared by powder metallurgy, Journal of the Tunisian Chemical Society 17:49-56. </w:t>
      </w:r>
    </w:p>
    <w:p w:rsidR="00B62FF0" w:rsidRPr="00B62FF0" w:rsidRDefault="00B62FF0" w:rsidP="005973B9">
      <w:pPr>
        <w:pStyle w:val="Default"/>
        <w:numPr>
          <w:ilvl w:val="0"/>
          <w:numId w:val="3"/>
        </w:numPr>
        <w:spacing w:before="92" w:line="218" w:lineRule="exact"/>
        <w:ind w:hanging="283"/>
        <w:jc w:val="both"/>
        <w:rPr>
          <w:sz w:val="18"/>
          <w:lang w:val="en-US"/>
        </w:rPr>
      </w:pPr>
      <w:r w:rsidRPr="00B62FF0">
        <w:rPr>
          <w:rFonts w:ascii="Calibri" w:eastAsia="Calibri" w:hAnsi="Calibri" w:cs="Calibri"/>
          <w:color w:val="auto"/>
          <w:sz w:val="18"/>
          <w:szCs w:val="22"/>
          <w:lang w:val="en-US"/>
        </w:rPr>
        <w:t xml:space="preserve">Masmoudi M, Mhadhbi M, Escoda L, Suñol JJ, Khitouni M (2016)  Microstructural evolution and corrosion behavior of nanocrystalline FeAl synthesized by mechanical alloying, Journal of Alloys and Compounds 657:330-335. </w:t>
      </w:r>
    </w:p>
    <w:p w:rsidR="005973B9" w:rsidRPr="00B62FF0" w:rsidRDefault="00B62FF0" w:rsidP="00B62FF0">
      <w:pPr>
        <w:pStyle w:val="Default"/>
        <w:numPr>
          <w:ilvl w:val="0"/>
          <w:numId w:val="3"/>
        </w:numPr>
        <w:spacing w:before="92" w:line="218" w:lineRule="exact"/>
        <w:ind w:hanging="283"/>
        <w:jc w:val="both"/>
        <w:rPr>
          <w:rFonts w:ascii="Calibri" w:eastAsia="Calibri" w:hAnsi="Calibri" w:cs="Calibri"/>
          <w:color w:val="auto"/>
          <w:sz w:val="18"/>
          <w:szCs w:val="22"/>
          <w:lang w:val="en-US"/>
        </w:rPr>
      </w:pPr>
      <w:r w:rsidRPr="00B62FF0">
        <w:rPr>
          <w:rFonts w:ascii="Calibri" w:eastAsia="Calibri" w:hAnsi="Calibri" w:cs="Calibri"/>
          <w:color w:val="auto"/>
          <w:sz w:val="18"/>
          <w:szCs w:val="22"/>
          <w:lang w:val="en-US"/>
        </w:rPr>
        <w:t>Mhadhbi M (2017)</w:t>
      </w:r>
      <w:r>
        <w:rPr>
          <w:rFonts w:ascii="Calibri" w:eastAsia="Calibri" w:hAnsi="Calibri" w:cs="Calibri"/>
          <w:color w:val="auto"/>
          <w:sz w:val="18"/>
          <w:szCs w:val="22"/>
          <w:lang w:val="en-US"/>
        </w:rPr>
        <w:t xml:space="preserve"> </w:t>
      </w:r>
      <w:r w:rsidR="0099686A">
        <w:rPr>
          <w:rFonts w:ascii="Calibri" w:eastAsia="Calibri" w:hAnsi="Calibri" w:cs="Calibri"/>
          <w:color w:val="auto"/>
          <w:sz w:val="18"/>
          <w:szCs w:val="22"/>
          <w:lang w:val="en-US"/>
        </w:rPr>
        <w:t xml:space="preserve">Book Chapter on </w:t>
      </w:r>
      <w:r w:rsidRPr="00B62FF0">
        <w:rPr>
          <w:rFonts w:ascii="Calibri" w:eastAsia="Calibri" w:hAnsi="Calibri" w:cs="Calibri"/>
          <w:color w:val="auto"/>
          <w:sz w:val="18"/>
          <w:szCs w:val="22"/>
          <w:lang w:val="en-US"/>
        </w:rPr>
        <w:t>Titanium carbide: Synthesis, properties and applications ACSBooks.</w:t>
      </w:r>
    </w:p>
    <w:p w:rsidR="005973B9" w:rsidRDefault="005973B9" w:rsidP="0099686A">
      <w:pPr>
        <w:pStyle w:val="Corpsdetexte"/>
        <w:spacing w:before="85" w:line="216" w:lineRule="exact"/>
        <w:ind w:left="383" w:right="138" w:hanging="284"/>
        <w:jc w:val="both"/>
        <w:rPr>
          <w:rFonts w:ascii="Calibri" w:hAnsi="Calibri"/>
        </w:rPr>
      </w:pPr>
      <w:r>
        <w:rPr>
          <w:rFonts w:ascii="Calibri" w:hAnsi="Calibri"/>
        </w:rPr>
        <w:t xml:space="preserve">5. </w:t>
      </w:r>
      <w:r w:rsidR="00B62FF0">
        <w:rPr>
          <w:rFonts w:ascii="Calibri" w:hAnsi="Calibri"/>
        </w:rPr>
        <w:t xml:space="preserve"> Mhadhbi M</w:t>
      </w:r>
      <w:r>
        <w:rPr>
          <w:rFonts w:ascii="Calibri" w:hAnsi="Calibri"/>
        </w:rPr>
        <w:t xml:space="preserve"> (20</w:t>
      </w:r>
      <w:r w:rsidR="00B62FF0">
        <w:rPr>
          <w:rFonts w:ascii="Calibri" w:hAnsi="Calibri"/>
        </w:rPr>
        <w:t>1</w:t>
      </w:r>
      <w:r>
        <w:rPr>
          <w:rFonts w:ascii="Calibri" w:hAnsi="Calibri"/>
        </w:rPr>
        <w:t xml:space="preserve">8) </w:t>
      </w:r>
      <w:r w:rsidR="0099686A">
        <w:rPr>
          <w:rFonts w:ascii="Calibri" w:hAnsi="Calibri"/>
        </w:rPr>
        <w:t xml:space="preserve">Book on </w:t>
      </w:r>
      <w:r w:rsidR="00B62FF0">
        <w:rPr>
          <w:rFonts w:ascii="Calibri" w:hAnsi="Calibri"/>
        </w:rPr>
        <w:t xml:space="preserve">Phase change materials and their applications </w:t>
      </w:r>
      <w:r w:rsidR="0099686A">
        <w:rPr>
          <w:rFonts w:ascii="Calibri" w:hAnsi="Calibri"/>
        </w:rPr>
        <w:t xml:space="preserve">IntechOpen. </w:t>
      </w: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CA1536" w:rsidRDefault="00CA1536" w:rsidP="0099686A">
      <w:pPr>
        <w:pStyle w:val="Corpsdetexte"/>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Pr="00FD4DDE" w:rsidRDefault="00AE3E37" w:rsidP="004A48B0">
      <w:pPr>
        <w:pStyle w:val="Default"/>
        <w:rPr>
          <w:rFonts w:ascii="Calibri" w:hAnsi="Calibri"/>
          <w:lang w:val="en-US"/>
        </w:rPr>
        <w:sectPr w:rsidR="00AE3E37" w:rsidRPr="00FD4DDE">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Corpsdetexte"/>
        <w:rPr>
          <w:rFonts w:ascii="Calibri"/>
          <w:b/>
          <w:sz w:val="20"/>
        </w:rPr>
      </w:pPr>
      <w:r w:rsidRPr="00D62425">
        <w:rPr>
          <w:rFonts w:ascii="Calibri"/>
          <w:b/>
          <w:sz w:val="20"/>
        </w:rPr>
        <w:lastRenderedPageBreak/>
        <w:t>Photograph</w:t>
      </w:r>
    </w:p>
    <w:p w:rsidR="00AE3E37" w:rsidRDefault="00743F53">
      <w:pPr>
        <w:pStyle w:val="Corpsdetexte"/>
        <w:spacing w:line="40" w:lineRule="exact"/>
        <w:ind w:left="2202"/>
        <w:rPr>
          <w:rFonts w:ascii="Calibri"/>
          <w:sz w:val="4"/>
        </w:rPr>
      </w:pPr>
      <w:r w:rsidRPr="00743F53">
        <w:rPr>
          <w:rFonts w:ascii="Calibri"/>
          <w:noProof/>
          <w:sz w:val="4"/>
          <w:lang w:val="en-IN" w:eastAsia="en-IN"/>
        </w:rPr>
      </w:r>
      <w:r w:rsidRPr="00743F5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A48B0" w:rsidP="00404E5B">
      <w:pPr>
        <w:spacing w:before="92"/>
        <w:ind w:right="4234"/>
        <w:rPr>
          <w:rFonts w:ascii="Arial"/>
        </w:rPr>
      </w:pPr>
      <w:r>
        <w:rPr>
          <w:noProof/>
          <w:lang w:val="fr-FR" w:eastAsia="fr-FR"/>
        </w:rPr>
        <w:drawing>
          <wp:anchor distT="0" distB="0" distL="114300" distR="114300" simplePos="0" relativeHeight="251659264" behindDoc="0" locked="0" layoutInCell="1" allowOverlap="1">
            <wp:simplePos x="0" y="0"/>
            <wp:positionH relativeFrom="column">
              <wp:posOffset>-1575</wp:posOffset>
            </wp:positionH>
            <wp:positionV relativeFrom="paragraph">
              <wp:posOffset>57861</wp:posOffset>
            </wp:positionV>
            <wp:extent cx="632003" cy="636074"/>
            <wp:effectExtent l="19050" t="0" r="0" b="0"/>
            <wp:wrapNone/>
            <wp:docPr id="2" name="Image 2" descr="C:\Users\admin3\Desktop\CV 2017\PHOTO Mohsen MHADH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3\Desktop\CV 2017\PHOTO Mohsen MHADHBI.png"/>
                    <pic:cNvPicPr>
                      <a:picLocks noChangeAspect="1" noChangeArrowheads="1"/>
                    </pic:cNvPicPr>
                  </pic:nvPicPr>
                  <pic:blipFill>
                    <a:blip r:embed="rId10" cstate="print"/>
                    <a:srcRect/>
                    <a:stretch>
                      <a:fillRect/>
                    </a:stretch>
                  </pic:blipFill>
                  <pic:spPr bwMode="auto">
                    <a:xfrm>
                      <a:off x="0" y="0"/>
                      <a:ext cx="634983" cy="639074"/>
                    </a:xfrm>
                    <a:prstGeom prst="rect">
                      <a:avLst/>
                    </a:prstGeom>
                    <a:noFill/>
                    <a:ln w="9525">
                      <a:noFill/>
                      <a:miter lim="800000"/>
                      <a:headEnd/>
                      <a:tailEnd/>
                    </a:ln>
                  </pic:spPr>
                </pic:pic>
              </a:graphicData>
            </a:graphic>
          </wp:anchor>
        </w:drawing>
      </w:r>
      <w:r w:rsidR="008756E6">
        <w:rPr>
          <w:noProof/>
          <w:lang w:val="fr-FR" w:eastAsia="fr-F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404E5B" w:rsidRPr="00470D1C">
        <w:rPr>
          <w:rFonts w:ascii="Arial"/>
          <w:strike/>
          <w:color w:val="BF5A14"/>
        </w:rPr>
        <w:t>(150 word limit)</w:t>
      </w:r>
    </w:p>
    <w:p w:rsidR="004A48B0" w:rsidRPr="00FD4DDE" w:rsidRDefault="004A48B0" w:rsidP="004A48B0">
      <w:pPr>
        <w:pStyle w:val="yiv6106311784msonormal"/>
        <w:shd w:val="clear" w:color="auto" w:fill="FFFFFF"/>
        <w:spacing w:before="0" w:beforeAutospacing="0" w:after="0" w:afterAutospacing="0" w:line="360" w:lineRule="auto"/>
        <w:jc w:val="both"/>
        <w:rPr>
          <w:rFonts w:ascii="Arial"/>
          <w:sz w:val="14"/>
          <w:lang w:val="en-US"/>
        </w:rPr>
      </w:pPr>
      <w:r w:rsidRPr="004A48B0">
        <w:rPr>
          <w:rFonts w:ascii="Arial"/>
          <w:sz w:val="14"/>
          <w:lang w:val="en-US"/>
        </w:rPr>
        <w:t xml:space="preserve">Dr. Mohsen Mhadhbi has Ph.D. of Chemistry from the Faculty of Sciences of Sfax at University of Sfax (Tunisia). </w:t>
      </w:r>
      <w:r w:rsidRPr="00FD4DDE">
        <w:rPr>
          <w:rFonts w:ascii="Arial"/>
          <w:sz w:val="14"/>
          <w:lang w:val="en-US"/>
        </w:rPr>
        <w:t>Since 2011, he is Assistant Professor and member of a research team of Laboratory of Useful Materials focusing on synthesis and characterization of nanomaterials for industrials responders (hydrogen storage, cutting tools and biomedical applications) at National Institute of Research and Physical-chemical Analysis at University of Carthage (Tunisia). Mhadhbi has served as teacher in Inorganic Chemistry in different Institutes in Tunisia. He has supervised several researchers in materials science. Her published work in national and international impacted journals and books. Mhadhbi is a member of different associations. He is also reviewer's and editorial board member in different scientific journals and congresses.</w:t>
      </w:r>
    </w:p>
    <w:p w:rsidR="00AE3E37" w:rsidRDefault="00AE3E37">
      <w:pPr>
        <w:spacing w:before="41" w:line="154" w:lineRule="exact"/>
        <w:ind w:left="213" w:right="231"/>
        <w:jc w:val="both"/>
        <w:rPr>
          <w:rFonts w:ascii="Arial"/>
          <w:sz w:val="14"/>
        </w:rPr>
      </w:pPr>
    </w:p>
    <w:p w:rsidR="00AE3E37" w:rsidRDefault="00A9710C" w:rsidP="004A48B0">
      <w:pPr>
        <w:spacing w:before="62"/>
        <w:ind w:left="4217" w:right="4235"/>
        <w:jc w:val="center"/>
        <w:rPr>
          <w:rFonts w:ascii="Arial"/>
          <w:sz w:val="14"/>
        </w:rPr>
      </w:pPr>
      <w:r>
        <w:rPr>
          <w:rFonts w:ascii="Arial"/>
          <w:sz w:val="14"/>
        </w:rPr>
        <w:t xml:space="preserve">Email: </w:t>
      </w:r>
      <w:r w:rsidR="004A48B0" w:rsidRPr="004A48B0">
        <w:rPr>
          <w:rStyle w:val="Lienhypertexte"/>
          <w:rFonts w:ascii="Arial"/>
          <w:sz w:val="14"/>
        </w:rPr>
        <w:t>mohsen.mhadhbi</w:t>
      </w:r>
      <w:hyperlink r:id="rId12" w:history="1">
        <w:r w:rsidR="008756E6" w:rsidRPr="00616076">
          <w:rPr>
            <w:rStyle w:val="Lienhypertexte"/>
            <w:rFonts w:ascii="Arial"/>
            <w:sz w:val="14"/>
          </w:rPr>
          <w:t>@</w:t>
        </w:r>
        <w:r w:rsidR="004A48B0">
          <w:rPr>
            <w:rStyle w:val="Lienhypertexte"/>
            <w:rFonts w:ascii="Arial"/>
            <w:sz w:val="14"/>
          </w:rPr>
          <w:t>inrap.rnrt.tn</w:t>
        </w:r>
      </w:hyperlink>
    </w:p>
    <w:p w:rsidR="00CA1536" w:rsidRDefault="00743F53" w:rsidP="00CA1536">
      <w:pPr>
        <w:pStyle w:val="Corpsdetexte"/>
        <w:spacing w:before="2"/>
        <w:rPr>
          <w:rFonts w:ascii="Minion Pro"/>
          <w:b/>
          <w:sz w:val="20"/>
        </w:rPr>
      </w:pPr>
      <w:bookmarkStart w:id="0" w:name="_GoBack"/>
      <w:bookmarkEnd w:id="0"/>
      <w:r w:rsidRPr="00743F5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A1536" w:rsidRDefault="00CA1536" w:rsidP="00CA1536">
      <w:pPr>
        <w:pStyle w:val="Corpsdetexte"/>
        <w:spacing w:before="2"/>
        <w:rPr>
          <w:rFonts w:ascii="Minion Pro"/>
          <w:b/>
          <w:sz w:val="20"/>
        </w:rPr>
      </w:pPr>
    </w:p>
    <w:p w:rsidR="00AE3E37" w:rsidRPr="00B21A57" w:rsidRDefault="00A9710C" w:rsidP="00CA1536">
      <w:pPr>
        <w:pStyle w:val="Corpsdetexte"/>
        <w:spacing w:before="2"/>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9AE" w:rsidRDefault="001449AE">
      <w:r>
        <w:separator/>
      </w:r>
    </w:p>
  </w:endnote>
  <w:endnote w:type="continuationSeparator" w:id="1">
    <w:p w:rsidR="001449AE" w:rsidRDefault="001449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3F53">
    <w:pPr>
      <w:pStyle w:val="Corpsdetexte"/>
      <w:spacing w:line="14" w:lineRule="auto"/>
      <w:rPr>
        <w:sz w:val="20"/>
      </w:rPr>
    </w:pPr>
    <w:r w:rsidRPr="00743F53">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9AE" w:rsidRDefault="001449AE">
      <w:r>
        <w:separator/>
      </w:r>
    </w:p>
  </w:footnote>
  <w:footnote w:type="continuationSeparator" w:id="1">
    <w:p w:rsidR="001449AE" w:rsidRDefault="001449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43F53">
    <w:pPr>
      <w:pStyle w:val="Corpsdetexte"/>
      <w:spacing w:line="14" w:lineRule="auto"/>
      <w:rPr>
        <w:sz w:val="20"/>
      </w:rPr>
    </w:pPr>
    <w:r w:rsidRPr="00743F53">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449AE"/>
    <w:rsid w:val="001E763C"/>
    <w:rsid w:val="0028190B"/>
    <w:rsid w:val="00292ED9"/>
    <w:rsid w:val="00314AFB"/>
    <w:rsid w:val="003200A9"/>
    <w:rsid w:val="003544AE"/>
    <w:rsid w:val="00366468"/>
    <w:rsid w:val="00374192"/>
    <w:rsid w:val="003B76D9"/>
    <w:rsid w:val="00404E5B"/>
    <w:rsid w:val="00414F7B"/>
    <w:rsid w:val="004355DC"/>
    <w:rsid w:val="00470D1C"/>
    <w:rsid w:val="004749B4"/>
    <w:rsid w:val="00482A63"/>
    <w:rsid w:val="0049285D"/>
    <w:rsid w:val="00494130"/>
    <w:rsid w:val="004A48B0"/>
    <w:rsid w:val="004F3523"/>
    <w:rsid w:val="00544FD8"/>
    <w:rsid w:val="005973B9"/>
    <w:rsid w:val="005B3A56"/>
    <w:rsid w:val="006060CE"/>
    <w:rsid w:val="00610F14"/>
    <w:rsid w:val="0063497F"/>
    <w:rsid w:val="00743F53"/>
    <w:rsid w:val="0078738A"/>
    <w:rsid w:val="00873DF0"/>
    <w:rsid w:val="008756E6"/>
    <w:rsid w:val="0094412E"/>
    <w:rsid w:val="0099686A"/>
    <w:rsid w:val="009B2D44"/>
    <w:rsid w:val="00A07E82"/>
    <w:rsid w:val="00A93DCD"/>
    <w:rsid w:val="00A9710C"/>
    <w:rsid w:val="00AE3E37"/>
    <w:rsid w:val="00B21A57"/>
    <w:rsid w:val="00B62FF0"/>
    <w:rsid w:val="00C33602"/>
    <w:rsid w:val="00CA1536"/>
    <w:rsid w:val="00CD6F55"/>
    <w:rsid w:val="00D62425"/>
    <w:rsid w:val="00D75075"/>
    <w:rsid w:val="00DE3104"/>
    <w:rsid w:val="00E95FAA"/>
    <w:rsid w:val="00EB672A"/>
    <w:rsid w:val="00F72EEA"/>
    <w:rsid w:val="00F8136A"/>
    <w:rsid w:val="00F84CAE"/>
    <w:rsid w:val="00FD4DDE"/>
    <w:rsid w:val="00FF743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yiv6106311784msonormal">
    <w:name w:val="yiv6106311784msonormal"/>
    <w:basedOn w:val="Normal"/>
    <w:rsid w:val="004A48B0"/>
    <w:pPr>
      <w:widowControl/>
      <w:spacing w:before="100" w:beforeAutospacing="1" w:after="100" w:afterAutospacing="1"/>
    </w:pPr>
    <w:rPr>
      <w:rFonts w:ascii="Times New Roman" w:eastAsia="Times New Roman" w:hAnsi="Times New Roman" w:cs="Times New Roman"/>
      <w:sz w:val="24"/>
      <w:szCs w:val="24"/>
      <w:lang w:val="fr-FR" w:eastAsia="fr-FR"/>
    </w:rPr>
  </w:style>
  <w:style w:type="paragraph" w:customStyle="1" w:styleId="Default">
    <w:name w:val="Default"/>
    <w:rsid w:val="004A48B0"/>
    <w:pPr>
      <w:widowControl/>
      <w:autoSpaceDE w:val="0"/>
      <w:autoSpaceDN w:val="0"/>
      <w:adjustRightInd w:val="0"/>
    </w:pPr>
    <w:rPr>
      <w:rFonts w:ascii="Book Antiqua" w:hAnsi="Book Antiqua" w:cs="Book Antiqua"/>
      <w:color w:val="000000"/>
      <w:sz w:val="24"/>
      <w:szCs w:val="24"/>
      <w:lang w:val="fr-FR"/>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475</Words>
  <Characters>2617</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admin3</cp:lastModifiedBy>
  <cp:revision>12</cp:revision>
  <dcterms:created xsi:type="dcterms:W3CDTF">2018-07-10T13:05:00Z</dcterms:created>
  <dcterms:modified xsi:type="dcterms:W3CDTF">2018-07-10T16:32:00Z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