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E0989" w14:textId="1F4B40D1" w:rsidR="00EC53D6" w:rsidRPr="00EC53D6" w:rsidRDefault="00EC53D6" w:rsidP="00494130">
      <w:pPr>
        <w:pStyle w:val="Titre1"/>
        <w:spacing w:before="170"/>
        <w:ind w:left="0"/>
        <w:rPr>
          <w:color w:val="4F81BD" w:themeColor="accent1"/>
        </w:rPr>
      </w:pPr>
      <w:r w:rsidRPr="00EC53D6">
        <w:rPr>
          <w:color w:val="4F81BD" w:themeColor="accent1"/>
        </w:rPr>
        <w:t xml:space="preserve">transthoracic echocardiography </w:t>
      </w:r>
      <w:r w:rsidR="00B879DE" w:rsidRPr="00B879DE">
        <w:rPr>
          <w:color w:val="4F81BD" w:themeColor="accent1"/>
        </w:rPr>
        <w:t>performed</w:t>
      </w:r>
      <w:r w:rsidR="00B879DE" w:rsidRPr="00B879DE">
        <w:rPr>
          <w:color w:val="4F81BD" w:themeColor="accent1"/>
        </w:rPr>
        <w:t xml:space="preserve"> </w:t>
      </w:r>
      <w:r w:rsidRPr="00EC53D6">
        <w:rPr>
          <w:color w:val="4F81BD" w:themeColor="accent1"/>
        </w:rPr>
        <w:t>by anesthesiologist in preoperative assessment</w:t>
      </w:r>
    </w:p>
    <w:p w14:paraId="2974BE16" w14:textId="3B20AB20" w:rsidR="00EC53D6" w:rsidRDefault="00EC53D6" w:rsidP="005973B9">
      <w:pPr>
        <w:pStyle w:val="Corpsdetexte"/>
        <w:spacing w:before="73" w:line="198" w:lineRule="exact"/>
        <w:ind w:left="100" w:right="5987"/>
        <w:rPr>
          <w:rFonts w:ascii="Arial"/>
        </w:rPr>
      </w:pPr>
      <w:r w:rsidRPr="00EC53D6">
        <w:rPr>
          <w:rFonts w:ascii="Arial"/>
        </w:rPr>
        <w:t xml:space="preserve">Dr A. MEKROUD, Faculty of Medicine of </w:t>
      </w:r>
      <w:proofErr w:type="gramStart"/>
      <w:r w:rsidRPr="00EC53D6">
        <w:rPr>
          <w:rFonts w:ascii="Arial"/>
        </w:rPr>
        <w:t>Bejaia</w:t>
      </w:r>
      <w:r>
        <w:rPr>
          <w:rFonts w:ascii="Arial"/>
        </w:rPr>
        <w:t xml:space="preserve">, </w:t>
      </w:r>
      <w:r w:rsidRPr="00EC53D6">
        <w:rPr>
          <w:rFonts w:ascii="Arial"/>
        </w:rPr>
        <w:t xml:space="preserve"> University</w:t>
      </w:r>
      <w:proofErr w:type="gramEnd"/>
      <w:r w:rsidRPr="00EC53D6">
        <w:rPr>
          <w:rFonts w:ascii="Arial"/>
        </w:rPr>
        <w:t xml:space="preserve"> Hospital Center of Bejaia, ALGERIA</w:t>
      </w:r>
    </w:p>
    <w:p w14:paraId="3A2A48AB" w14:textId="77777777" w:rsidR="00AE3E37" w:rsidRDefault="00AE3E37">
      <w:pPr>
        <w:pStyle w:val="Corpsdetexte"/>
        <w:rPr>
          <w:rFonts w:ascii="Arial"/>
          <w:sz w:val="20"/>
        </w:rPr>
      </w:pPr>
    </w:p>
    <w:p w14:paraId="03329EAB" w14:textId="77777777" w:rsidR="00AE3E37" w:rsidRDefault="00AE3E37">
      <w:pPr>
        <w:pStyle w:val="Corpsdetexte"/>
        <w:spacing w:before="3"/>
        <w:rPr>
          <w:rFonts w:ascii="Arial"/>
          <w:sz w:val="21"/>
        </w:rPr>
      </w:pPr>
    </w:p>
    <w:p w14:paraId="47FDB1BB" w14:textId="77777777" w:rsidR="00AE3E37" w:rsidRDefault="00AE3E37">
      <w:pPr>
        <w:rPr>
          <w:rFonts w:ascii="Arial"/>
          <w:sz w:val="21"/>
        </w:rPr>
        <w:sectPr w:rsidR="00AE3E37" w:rsidSect="00CD081A">
          <w:headerReference w:type="default" r:id="rId7"/>
          <w:footerReference w:type="default" r:id="rId8"/>
          <w:type w:val="continuous"/>
          <w:pgSz w:w="11910" w:h="16840"/>
          <w:pgMar w:top="1740" w:right="600" w:bottom="840" w:left="620" w:header="541" w:footer="642" w:gutter="0"/>
          <w:cols w:space="720"/>
        </w:sectPr>
      </w:pPr>
    </w:p>
    <w:p w14:paraId="6A9821D5" w14:textId="6F51BC25" w:rsidR="00AE3E37" w:rsidRDefault="00A9710C">
      <w:pPr>
        <w:pStyle w:val="Titre3"/>
        <w:spacing w:before="147"/>
        <w:jc w:val="both"/>
      </w:pPr>
      <w:r>
        <w:rPr>
          <w:color w:val="BF5A14"/>
        </w:rPr>
        <w:t>Abstract</w:t>
      </w:r>
      <w:r w:rsidR="00404E5B">
        <w:rPr>
          <w:color w:val="BF5A14"/>
        </w:rPr>
        <w:t xml:space="preserve"> </w:t>
      </w:r>
    </w:p>
    <w:p w14:paraId="426FF5DF" w14:textId="77777777" w:rsidR="00D84F1E" w:rsidRDefault="00D84F1E" w:rsidP="00D84F1E">
      <w:pPr>
        <w:pStyle w:val="Corpsdetexte"/>
        <w:spacing w:before="2"/>
      </w:pPr>
      <w:proofErr w:type="gramStart"/>
      <w:r>
        <w:t>Introduction :</w:t>
      </w:r>
      <w:proofErr w:type="gramEnd"/>
    </w:p>
    <w:p w14:paraId="5C38458D" w14:textId="77777777" w:rsidR="00D84F1E" w:rsidRDefault="00D84F1E" w:rsidP="00D84F1E">
      <w:pPr>
        <w:pStyle w:val="Corpsdetexte"/>
        <w:spacing w:before="2"/>
      </w:pPr>
      <w:r>
        <w:t xml:space="preserve">The concept of POCUS (Point </w:t>
      </w:r>
      <w:proofErr w:type="gramStart"/>
      <w:r>
        <w:t>Of</w:t>
      </w:r>
      <w:proofErr w:type="gramEnd"/>
      <w:r>
        <w:t xml:space="preserve"> Care Ultrasonography) continues to prove its advantages and its extraordinary contribution to the daily practice of our specialty. We will describe our experience in the preoperative echocardiographic evaluation in trauma surgery, completely carried out by our anesthesia team.</w:t>
      </w:r>
    </w:p>
    <w:p w14:paraId="75D10E62" w14:textId="77777777" w:rsidR="00D84F1E" w:rsidRDefault="00D84F1E" w:rsidP="00D84F1E">
      <w:pPr>
        <w:pStyle w:val="Corpsdetexte"/>
        <w:spacing w:before="2"/>
      </w:pPr>
      <w:proofErr w:type="gramStart"/>
      <w:r>
        <w:t>Material :</w:t>
      </w:r>
      <w:proofErr w:type="gramEnd"/>
    </w:p>
    <w:p w14:paraId="7021AF79" w14:textId="77777777" w:rsidR="00D84F1E" w:rsidRDefault="00D84F1E" w:rsidP="00D84F1E">
      <w:pPr>
        <w:pStyle w:val="Corpsdetexte"/>
        <w:spacing w:before="2"/>
      </w:pPr>
      <w:r>
        <w:t>Prospective study, in the medical-surgical emergency department,</w:t>
      </w:r>
    </w:p>
    <w:p w14:paraId="5755A81F" w14:textId="77777777" w:rsidR="00D84F1E" w:rsidRDefault="00D84F1E" w:rsidP="00D84F1E">
      <w:pPr>
        <w:pStyle w:val="Corpsdetexte"/>
        <w:spacing w:before="2"/>
      </w:pPr>
      <w:r>
        <w:t xml:space="preserve">trauma </w:t>
      </w:r>
      <w:proofErr w:type="gramStart"/>
      <w:r>
        <w:t>patients</w:t>
      </w:r>
      <w:proofErr w:type="gramEnd"/>
      <w:r>
        <w:t xml:space="preserve"> candidates for surgery, aged over 60 and/or with comorbidities, benefited from a pre-operative echocardiography carried out by the anesthesia team, included in the pre-anesthetic assessment.</w:t>
      </w:r>
    </w:p>
    <w:p w14:paraId="0C1F8E26" w14:textId="77777777" w:rsidR="00D84F1E" w:rsidRDefault="00D84F1E" w:rsidP="00D84F1E">
      <w:pPr>
        <w:pStyle w:val="Corpsdetexte"/>
        <w:spacing w:before="2"/>
      </w:pPr>
      <w:r>
        <w:t>• pathological history and current treatments, clinical examination, assessment of surgical risk with validated scores</w:t>
      </w:r>
    </w:p>
    <w:p w14:paraId="319CF5F6" w14:textId="77777777" w:rsidR="00D84F1E" w:rsidRDefault="00D84F1E" w:rsidP="00D84F1E">
      <w:pPr>
        <w:pStyle w:val="Corpsdetexte"/>
        <w:spacing w:before="2"/>
      </w:pPr>
      <w:r>
        <w:t xml:space="preserve">• Abnormalities observed on echocardiography are </w:t>
      </w:r>
      <w:proofErr w:type="gramStart"/>
      <w:r>
        <w:t>noted :</w:t>
      </w:r>
      <w:proofErr w:type="gramEnd"/>
    </w:p>
    <w:p w14:paraId="6D94B402" w14:textId="77777777" w:rsidR="00D84F1E" w:rsidRDefault="00D84F1E" w:rsidP="00D84F1E">
      <w:pPr>
        <w:pStyle w:val="Corpsdetexte"/>
        <w:spacing w:before="2"/>
      </w:pPr>
      <w:r>
        <w:t>- Morphological anomalies</w:t>
      </w:r>
    </w:p>
    <w:p w14:paraId="7CCAA22A" w14:textId="77777777" w:rsidR="00D84F1E" w:rsidRDefault="00D84F1E" w:rsidP="00D84F1E">
      <w:pPr>
        <w:pStyle w:val="Corpsdetexte"/>
        <w:spacing w:before="2"/>
      </w:pPr>
      <w:r>
        <w:t>- Abnormalities of systolic and diastolic function</w:t>
      </w:r>
    </w:p>
    <w:p w14:paraId="04BC25C4" w14:textId="77777777" w:rsidR="00D84F1E" w:rsidRDefault="00D84F1E" w:rsidP="00D84F1E">
      <w:pPr>
        <w:pStyle w:val="Corpsdetexte"/>
        <w:spacing w:before="2"/>
      </w:pPr>
      <w:r>
        <w:t>- Valvular and pericardium anomalies</w:t>
      </w:r>
    </w:p>
    <w:p w14:paraId="41017119" w14:textId="77777777" w:rsidR="00D84F1E" w:rsidRDefault="00D84F1E" w:rsidP="00D84F1E">
      <w:pPr>
        <w:pStyle w:val="Corpsdetexte"/>
        <w:spacing w:before="2"/>
      </w:pPr>
      <w:r>
        <w:t>- Hemodynamic parameters</w:t>
      </w:r>
    </w:p>
    <w:p w14:paraId="6F5C9BF4" w14:textId="77777777" w:rsidR="00D84F1E" w:rsidRDefault="00D84F1E" w:rsidP="00D84F1E">
      <w:pPr>
        <w:pStyle w:val="Corpsdetexte"/>
        <w:spacing w:before="2"/>
      </w:pPr>
      <w:r>
        <w:t>•</w:t>
      </w:r>
      <w:r>
        <w:tab/>
        <w:t xml:space="preserve">The implications after this evaluation on the therapeutic, anesthetic and analgesic protocol, for each abnormality found, are specified with determination of the correlation coefficient. </w:t>
      </w:r>
    </w:p>
    <w:p w14:paraId="4ED7D19B" w14:textId="77777777" w:rsidR="00D84F1E" w:rsidRDefault="00D84F1E" w:rsidP="00D84F1E">
      <w:pPr>
        <w:pStyle w:val="Corpsdetexte"/>
        <w:spacing w:before="2"/>
      </w:pPr>
      <w:r>
        <w:t>Results</w:t>
      </w:r>
    </w:p>
    <w:p w14:paraId="48910BCA" w14:textId="77777777" w:rsidR="00D84F1E" w:rsidRDefault="00D84F1E" w:rsidP="00D84F1E">
      <w:pPr>
        <w:pStyle w:val="Corpsdetexte"/>
        <w:spacing w:before="2"/>
      </w:pPr>
      <w:r>
        <w:t>29 patients are operated on, Average age 82.74 years.</w:t>
      </w:r>
    </w:p>
    <w:p w14:paraId="7F7E0E1C" w14:textId="77777777" w:rsidR="00D84F1E" w:rsidRDefault="00D84F1E" w:rsidP="00D84F1E">
      <w:pPr>
        <w:pStyle w:val="Corpsdetexte"/>
        <w:spacing w:before="2"/>
      </w:pPr>
      <w:r>
        <w:t>diabetes mellitus represents 81.35% of cases, hypertension 68.71%</w:t>
      </w:r>
    </w:p>
    <w:p w14:paraId="21F03E30" w14:textId="77777777" w:rsidR="00D84F1E" w:rsidRDefault="00D84F1E" w:rsidP="00D84F1E">
      <w:pPr>
        <w:pStyle w:val="Corpsdetexte"/>
        <w:spacing w:before="2"/>
      </w:pPr>
      <w:r>
        <w:t xml:space="preserve">Hip fracture surgery </w:t>
      </w:r>
      <w:proofErr w:type="gramStart"/>
      <w:r>
        <w:t>represent</w:t>
      </w:r>
      <w:proofErr w:type="gramEnd"/>
      <w:r>
        <w:t xml:space="preserve"> 61.57% of cases</w:t>
      </w:r>
    </w:p>
    <w:p w14:paraId="188E6E36" w14:textId="77777777" w:rsidR="00D84F1E" w:rsidRDefault="00D84F1E" w:rsidP="00D84F1E">
      <w:pPr>
        <w:pStyle w:val="Corpsdetexte"/>
        <w:spacing w:before="2"/>
      </w:pPr>
      <w:r>
        <w:t>Pathological echocardiography with personalized adaptation of the protocol, depending on the situation, represent 49.42% of cases.</w:t>
      </w:r>
    </w:p>
    <w:p w14:paraId="2B26DEFE" w14:textId="77777777" w:rsidR="00D84F1E" w:rsidRDefault="00D84F1E" w:rsidP="00D84F1E">
      <w:pPr>
        <w:pStyle w:val="Corpsdetexte"/>
        <w:spacing w:before="2"/>
      </w:pPr>
      <w:r>
        <w:t>a significant relationship was found between pathological findings on preoperative echocardiography and adaptations of the therapeutic process.</w:t>
      </w:r>
    </w:p>
    <w:p w14:paraId="0D4573CB" w14:textId="77777777" w:rsidR="00D84F1E" w:rsidRDefault="00D84F1E" w:rsidP="00D84F1E">
      <w:pPr>
        <w:pStyle w:val="Corpsdetexte"/>
        <w:spacing w:before="2"/>
      </w:pPr>
    </w:p>
    <w:p w14:paraId="3C77EB18" w14:textId="77777777" w:rsidR="00D84F1E" w:rsidRDefault="00D84F1E" w:rsidP="00D84F1E">
      <w:pPr>
        <w:pStyle w:val="Corpsdetexte"/>
        <w:spacing w:before="2"/>
      </w:pPr>
    </w:p>
    <w:p w14:paraId="5F82C1F9" w14:textId="77777777" w:rsidR="00D84F1E" w:rsidRDefault="00D84F1E" w:rsidP="00D84F1E">
      <w:pPr>
        <w:pStyle w:val="Corpsdetexte"/>
        <w:spacing w:before="2"/>
      </w:pPr>
      <w:r>
        <w:t xml:space="preserve">Discussion </w:t>
      </w:r>
    </w:p>
    <w:p w14:paraId="36584786" w14:textId="77777777" w:rsidR="00D84F1E" w:rsidRDefault="00D84F1E" w:rsidP="00D84F1E">
      <w:pPr>
        <w:pStyle w:val="Corpsdetexte"/>
        <w:spacing w:before="2"/>
      </w:pPr>
      <w:r>
        <w:t xml:space="preserve">Echocardiographic results of significant pathologies discovered by anesthesiologists implying changes in the perioperative management of patients have been proven by many studies. Anesthesiologist who masters the general ultrasound and echocardiographic tool, performs </w:t>
      </w:r>
      <w:r>
        <w:t xml:space="preserve">pre-anesthetic assessments with validated operative risk scores, and ensures personalized care, until the post-operative period. In our study, no incident was noted in the perioperative period of these patients, fully supported by our team. </w:t>
      </w:r>
    </w:p>
    <w:p w14:paraId="73BC9FE4" w14:textId="77777777" w:rsidR="00D84F1E" w:rsidRDefault="00D84F1E" w:rsidP="00D84F1E">
      <w:pPr>
        <w:pStyle w:val="Corpsdetexte"/>
        <w:spacing w:before="2"/>
      </w:pPr>
      <w:r>
        <w:t xml:space="preserve">Conclusion </w:t>
      </w:r>
    </w:p>
    <w:p w14:paraId="5A3E0A4C" w14:textId="264EE138" w:rsidR="00AE3E37" w:rsidRDefault="00D84F1E" w:rsidP="00D84F1E">
      <w:pPr>
        <w:pStyle w:val="Corpsdetexte"/>
        <w:spacing w:before="2"/>
        <w:rPr>
          <w:rFonts w:ascii="Arial"/>
          <w:b/>
          <w:sz w:val="16"/>
        </w:rPr>
      </w:pPr>
      <w:r>
        <w:t>The generalization of the transthoracic echocardiography assessment, carried out by the anesthesia team, will improve the quality of the overall management protocol, and reduce the cardiologist’s preoperative echocardiography to certain situations of multiple cardiac morphological and functional impairment.</w:t>
      </w:r>
    </w:p>
    <w:p w14:paraId="191DE0BA" w14:textId="4A6E3229" w:rsidR="005973B9" w:rsidRDefault="005973B9" w:rsidP="005973B9">
      <w:pPr>
        <w:spacing w:line="204" w:lineRule="exact"/>
        <w:rPr>
          <w:rFonts w:ascii="Arial"/>
          <w:b/>
          <w:sz w:val="20"/>
        </w:rPr>
      </w:pPr>
      <w:r>
        <w:rPr>
          <w:rFonts w:ascii="Arial"/>
          <w:b/>
          <w:color w:val="BF5A14"/>
          <w:sz w:val="20"/>
        </w:rPr>
        <w:br/>
        <w:t>Recent Publications</w:t>
      </w:r>
    </w:p>
    <w:p w14:paraId="6CC62163" w14:textId="1C6D0AC8" w:rsidR="000B4A7D" w:rsidRPr="000B4A7D" w:rsidRDefault="000B4A7D" w:rsidP="000B4A7D">
      <w:pPr>
        <w:pStyle w:val="Paragraphedeliste"/>
        <w:numPr>
          <w:ilvl w:val="0"/>
          <w:numId w:val="3"/>
        </w:numPr>
        <w:tabs>
          <w:tab w:val="left" w:pos="384"/>
        </w:tabs>
        <w:ind w:right="117"/>
        <w:rPr>
          <w:sz w:val="18"/>
        </w:rPr>
      </w:pPr>
      <w:r w:rsidRPr="000B4A7D">
        <w:rPr>
          <w:sz w:val="18"/>
        </w:rPr>
        <w:t>CAHALAN, Michael K., STEWART, William, PEARLMAN, Alan, et al. American Society of Echocardiography and Society of Cardiovascular Anesthesiologists task force guidelines for training in perioperative echocardiography. Journal of the American Society of Echocardiography, 2002, vol. 15, no 6, p. 647-652.</w:t>
      </w:r>
    </w:p>
    <w:p w14:paraId="07FBD6FE" w14:textId="20C9A12C" w:rsidR="000B4A7D" w:rsidRPr="000B4A7D" w:rsidRDefault="000B4A7D" w:rsidP="000B4A7D">
      <w:pPr>
        <w:pStyle w:val="Paragraphedeliste"/>
        <w:numPr>
          <w:ilvl w:val="0"/>
          <w:numId w:val="3"/>
        </w:numPr>
        <w:tabs>
          <w:tab w:val="left" w:pos="384"/>
        </w:tabs>
        <w:ind w:right="117"/>
        <w:rPr>
          <w:sz w:val="18"/>
        </w:rPr>
      </w:pPr>
      <w:r w:rsidRPr="000B4A7D">
        <w:rPr>
          <w:sz w:val="18"/>
          <w:lang w:val="fr-FR"/>
        </w:rPr>
        <w:t xml:space="preserve">SUBRAMANIAM, Kathirvel, BOISEN, Michael L., YEHUSHUA, Liora, et al. </w:t>
      </w:r>
      <w:r w:rsidRPr="000B4A7D">
        <w:rPr>
          <w:sz w:val="18"/>
        </w:rPr>
        <w:t>Perioperative transthoracic echocardiography practice by cardiac anesthesiologists—report of a “start-up” experience. Journal of Cardiothoracic and Vascular Anesthesia, 2021, vol. 35, no 1, p. 222-232.</w:t>
      </w:r>
    </w:p>
    <w:p w14:paraId="637383D8" w14:textId="4A0211FA" w:rsidR="000B4A7D" w:rsidRDefault="000B4A7D" w:rsidP="000B4A7D">
      <w:pPr>
        <w:pStyle w:val="Paragraphedeliste"/>
        <w:numPr>
          <w:ilvl w:val="0"/>
          <w:numId w:val="3"/>
        </w:numPr>
        <w:tabs>
          <w:tab w:val="left" w:pos="384"/>
        </w:tabs>
        <w:ind w:right="117"/>
        <w:rPr>
          <w:sz w:val="18"/>
        </w:rPr>
      </w:pPr>
      <w:r w:rsidRPr="000B4A7D">
        <w:rPr>
          <w:sz w:val="18"/>
        </w:rPr>
        <w:t>FIZA, Babar, DUGGAL, Neal, MCMILLAN, Caitlin E., et al. Feasibility of anesthesiologist-performed preoperative echocardiography for the prediction of postinduction hypotension: a prospective observational study. Anesthesiology research and practice, 2020, vol. 2020.</w:t>
      </w:r>
    </w:p>
    <w:p w14:paraId="11C5D91D" w14:textId="1562FB43" w:rsidR="000B4A7D" w:rsidRDefault="000B4A7D" w:rsidP="000B4A7D">
      <w:pPr>
        <w:pStyle w:val="Paragraphedeliste"/>
        <w:numPr>
          <w:ilvl w:val="0"/>
          <w:numId w:val="3"/>
        </w:numPr>
        <w:tabs>
          <w:tab w:val="left" w:pos="384"/>
        </w:tabs>
        <w:ind w:right="117"/>
        <w:rPr>
          <w:sz w:val="18"/>
        </w:rPr>
      </w:pPr>
      <w:r w:rsidRPr="000B4A7D">
        <w:rPr>
          <w:sz w:val="18"/>
          <w:lang w:val="fr-FR"/>
        </w:rPr>
        <w:t xml:space="preserve">STENBERG, Ylva, WALLINDER, Lina, LINDBERG, Anne, et al. </w:t>
      </w:r>
      <w:r w:rsidRPr="000B4A7D">
        <w:rPr>
          <w:sz w:val="18"/>
        </w:rPr>
        <w:t>Preoperative point-of-care assessment of left ventricular systolic dysfunction with transthoracic echocardiography. Anesthesia &amp; Analgesia, 2021, vol. 132, no 3, p. 717-725.</w:t>
      </w:r>
    </w:p>
    <w:p w14:paraId="78517F43" w14:textId="635AF35F" w:rsidR="000B4A7D" w:rsidRPr="000B4A7D" w:rsidRDefault="000B4A7D" w:rsidP="000B4A7D">
      <w:pPr>
        <w:pStyle w:val="Paragraphedeliste"/>
        <w:numPr>
          <w:ilvl w:val="0"/>
          <w:numId w:val="3"/>
        </w:numPr>
        <w:tabs>
          <w:tab w:val="left" w:pos="384"/>
        </w:tabs>
        <w:ind w:right="117"/>
        <w:rPr>
          <w:sz w:val="18"/>
        </w:rPr>
      </w:pPr>
      <w:r w:rsidRPr="000B4A7D">
        <w:rPr>
          <w:sz w:val="18"/>
        </w:rPr>
        <w:t>FLOWER, Luke, DEMPSEY, Martin, WHITE, Alexander, et al. Training and accreditation pathways in critical care and perioperative echocardiography. Journal of Cardiothoracic and Vascular Anesthesia, 2021, vol. 35, no 1, p. 235-247.</w:t>
      </w:r>
    </w:p>
    <w:p w14:paraId="41E27AAF" w14:textId="77777777" w:rsidR="00AE3E37" w:rsidRPr="008756E6" w:rsidRDefault="00AE3E37" w:rsidP="008756E6">
      <w:pPr>
        <w:tabs>
          <w:tab w:val="left" w:pos="384"/>
        </w:tabs>
        <w:ind w:right="117"/>
      </w:pPr>
    </w:p>
    <w:p w14:paraId="2889560E" w14:textId="77777777" w:rsidR="00AE3E37" w:rsidRDefault="008756E6">
      <w:pPr>
        <w:spacing w:line="200" w:lineRule="exact"/>
        <w:jc w:val="both"/>
        <w:rPr>
          <w:rFonts w:ascii="Calibri" w:hAnsi="Calibri"/>
        </w:rPr>
        <w:sectPr w:rsidR="00AE3E37" w:rsidSect="00CD081A">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7B71FB1" w14:textId="008723DE" w:rsidR="00AE3E37" w:rsidRPr="00D62425" w:rsidRDefault="00D62425">
      <w:pPr>
        <w:pStyle w:val="Corpsdetexte"/>
        <w:rPr>
          <w:rFonts w:ascii="Calibri"/>
          <w:b/>
          <w:sz w:val="20"/>
        </w:rPr>
      </w:pPr>
      <w:r>
        <w:rPr>
          <w:rFonts w:ascii="Calibri"/>
          <w:sz w:val="20"/>
        </w:rPr>
        <w:t xml:space="preserve">                 </w:t>
      </w:r>
    </w:p>
    <w:p w14:paraId="0747A385" w14:textId="77777777"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033C7D86" wp14:editId="42A824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460C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258CD1A" w14:textId="7E2B1A8C" w:rsidR="00AE3E37" w:rsidRDefault="008756E6" w:rsidP="00404E5B">
      <w:pPr>
        <w:spacing w:before="92"/>
        <w:ind w:right="4234"/>
        <w:rPr>
          <w:rFonts w:ascii="Arial"/>
        </w:rPr>
      </w:pPr>
      <w:r>
        <w:rPr>
          <w:noProof/>
        </w:rPr>
        <w:t xml:space="preserve">             </w:t>
      </w:r>
      <w:r w:rsidR="00AA3E21">
        <w:rPr>
          <w:noProof/>
        </w:rPr>
        <w:drawing>
          <wp:inline distT="0" distB="0" distL="0" distR="0" wp14:anchorId="644F80E7" wp14:editId="59110CF6">
            <wp:extent cx="461148" cy="605330"/>
            <wp:effectExtent l="0" t="0" r="0" b="4445"/>
            <wp:docPr id="5559605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60592" name=""/>
                    <pic:cNvPicPr/>
                  </pic:nvPicPr>
                  <pic:blipFill rotWithShape="1">
                    <a:blip r:embed="rId9"/>
                    <a:srcRect l="48949" t="37300" r="39914" b="36694"/>
                    <a:stretch/>
                  </pic:blipFill>
                  <pic:spPr bwMode="auto">
                    <a:xfrm>
                      <a:off x="0" y="0"/>
                      <a:ext cx="478721" cy="628398"/>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p w14:paraId="03C14999" w14:textId="713BF14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AA3E21">
        <w:rPr>
          <w:rFonts w:ascii="Arial"/>
          <w:sz w:val="14"/>
        </w:rPr>
        <w:t xml:space="preserve"> Amel MEKROUD</w:t>
      </w:r>
      <w:r w:rsidR="00D84F1E" w:rsidRPr="00D84F1E">
        <w:rPr>
          <w:rFonts w:ascii="Arial"/>
          <w:sz w:val="14"/>
        </w:rPr>
        <w:t xml:space="preserve"> has </w:t>
      </w:r>
      <w:r w:rsidR="00D84F1E">
        <w:rPr>
          <w:rFonts w:ascii="Arial"/>
          <w:sz w:val="14"/>
        </w:rPr>
        <w:t>her</w:t>
      </w:r>
      <w:r w:rsidR="00D84F1E" w:rsidRPr="00D84F1E">
        <w:rPr>
          <w:rFonts w:ascii="Arial"/>
          <w:sz w:val="14"/>
        </w:rPr>
        <w:t xml:space="preserve"> expertise in anesthesiology, intensive care and emergency medicine and his passion for improving health and research in these areas. she has her care objectives with patients and teaching and development objectives with her students, whether they are at the medical school or in the hospital</w:t>
      </w:r>
    </w:p>
    <w:p w14:paraId="29311C52" w14:textId="172A0F24" w:rsidR="00AE3E37" w:rsidRDefault="00A9710C">
      <w:pPr>
        <w:spacing w:before="62"/>
        <w:ind w:left="4217" w:right="4235"/>
        <w:jc w:val="center"/>
        <w:rPr>
          <w:rFonts w:ascii="Arial"/>
          <w:sz w:val="14"/>
        </w:rPr>
      </w:pPr>
      <w:r>
        <w:rPr>
          <w:rFonts w:ascii="Arial"/>
          <w:sz w:val="14"/>
        </w:rPr>
        <w:t xml:space="preserve">Email: </w:t>
      </w:r>
      <w:hyperlink r:id="rId10" w:history="1">
        <w:r w:rsidR="00AA3E21" w:rsidRPr="00233ED4">
          <w:rPr>
            <w:rStyle w:val="Lienhypertexte"/>
            <w:rFonts w:ascii="Arial"/>
            <w:sz w:val="14"/>
          </w:rPr>
          <w:t>drmekroud@gmail.com</w:t>
        </w:r>
      </w:hyperlink>
    </w:p>
    <w:p w14:paraId="5C182FEF" w14:textId="77777777"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B5B69A" wp14:editId="742AF9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7EB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6F3BBDE" w14:textId="77777777" w:rsidR="00AE3E37" w:rsidRDefault="00AE3E37">
      <w:pPr>
        <w:pStyle w:val="Corpsdetexte"/>
        <w:rPr>
          <w:rFonts w:ascii="Arial"/>
          <w:sz w:val="20"/>
        </w:rPr>
      </w:pPr>
    </w:p>
    <w:p w14:paraId="6F7AF788" w14:textId="77777777" w:rsidR="00AE3E37" w:rsidRDefault="00AE3E37">
      <w:pPr>
        <w:pStyle w:val="Corpsdetexte"/>
        <w:rPr>
          <w:rFonts w:ascii="Arial"/>
          <w:sz w:val="20"/>
        </w:rPr>
      </w:pPr>
    </w:p>
    <w:p w14:paraId="5B770BF9" w14:textId="77777777" w:rsidR="00AE3E37" w:rsidRDefault="00AE3E37">
      <w:pPr>
        <w:pStyle w:val="Corpsdetexte"/>
        <w:spacing w:before="7"/>
        <w:rPr>
          <w:rFonts w:ascii="Arial"/>
          <w:sz w:val="29"/>
        </w:rPr>
      </w:pPr>
    </w:p>
    <w:p w14:paraId="59D03B80" w14:textId="77777777" w:rsidR="00AE3E37" w:rsidRDefault="00AE3E37">
      <w:pPr>
        <w:rPr>
          <w:rFonts w:ascii="Minion Pro"/>
          <w:sz w:val="24"/>
        </w:rPr>
        <w:sectPr w:rsidR="00AE3E37" w:rsidSect="00CD081A">
          <w:type w:val="continuous"/>
          <w:pgSz w:w="11910" w:h="16840"/>
          <w:pgMar w:top="1740" w:right="600" w:bottom="840" w:left="620" w:header="720" w:footer="720" w:gutter="0"/>
          <w:cols w:space="720"/>
        </w:sectPr>
      </w:pPr>
    </w:p>
    <w:p w14:paraId="24878787" w14:textId="61A80B7A" w:rsidR="00AE3E37" w:rsidRDefault="00AE3E37">
      <w:pPr>
        <w:pStyle w:val="Corpsdetexte"/>
        <w:spacing w:before="3"/>
        <w:rPr>
          <w:rFonts w:ascii="Minion Pro"/>
          <w:sz w:val="26"/>
        </w:rPr>
      </w:pPr>
    </w:p>
    <w:sectPr w:rsidR="00AE3E37" w:rsidSect="00CD081A">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E36C5" w14:textId="77777777" w:rsidR="00CD081A" w:rsidRDefault="00CD081A">
      <w:r>
        <w:separator/>
      </w:r>
    </w:p>
  </w:endnote>
  <w:endnote w:type="continuationSeparator" w:id="0">
    <w:p w14:paraId="28F71C80" w14:textId="77777777" w:rsidR="00CD081A" w:rsidRDefault="00CD0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650"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774DB05" wp14:editId="09033E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5599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69B1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4DB0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DA5599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69B1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C8E606C" wp14:editId="5D15F06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85D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CEC3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E606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3685D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CEC39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DB502E7" wp14:editId="143D1D1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529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8E3A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502E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285294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8E3A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49E34" w14:textId="77777777" w:rsidR="00CD081A" w:rsidRDefault="00CD081A">
      <w:r>
        <w:separator/>
      </w:r>
    </w:p>
  </w:footnote>
  <w:footnote w:type="continuationSeparator" w:id="0">
    <w:p w14:paraId="461B2BC9" w14:textId="77777777" w:rsidR="00CD081A" w:rsidRDefault="00CD0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0BB1"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9F96CA5" wp14:editId="30C9C0B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154D9" w14:textId="77777777" w:rsidR="00AE3E37" w:rsidRPr="00EC53D6" w:rsidRDefault="00A9710C">
                          <w:pPr>
                            <w:spacing w:before="2" w:line="249" w:lineRule="auto"/>
                            <w:ind w:left="156" w:right="18" w:hanging="137"/>
                            <w:rPr>
                              <w:rFonts w:ascii="Arial"/>
                              <w:color w:val="FFFFFF" w:themeColor="background1"/>
                              <w:sz w:val="14"/>
                              <w:lang w:val="fr-FR"/>
                            </w:rPr>
                          </w:pPr>
                          <w:r w:rsidRPr="00EC53D6">
                            <w:rPr>
                              <w:rFonts w:ascii="Arial"/>
                              <w:color w:val="FFFFFF" w:themeColor="background1"/>
                              <w:sz w:val="14"/>
                              <w:lang w:val="fr-FR"/>
                            </w:rPr>
                            <w:t xml:space="preserve">T Furuta et al., J Pai n Relief 2016, 5:3(Suppl) </w:t>
                          </w:r>
                          <w:hyperlink r:id="rId1">
                            <w:r w:rsidRPr="00EC53D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96CA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079154D9" w14:textId="77777777" w:rsidR="00AE3E37" w:rsidRPr="00EC53D6" w:rsidRDefault="00A9710C">
                    <w:pPr>
                      <w:spacing w:before="2" w:line="249" w:lineRule="auto"/>
                      <w:ind w:left="156" w:right="18" w:hanging="137"/>
                      <w:rPr>
                        <w:rFonts w:ascii="Arial"/>
                        <w:color w:val="FFFFFF" w:themeColor="background1"/>
                        <w:sz w:val="14"/>
                        <w:lang w:val="fr-FR"/>
                      </w:rPr>
                    </w:pPr>
                    <w:r w:rsidRPr="00EC53D6">
                      <w:rPr>
                        <w:rFonts w:ascii="Arial"/>
                        <w:color w:val="FFFFFF" w:themeColor="background1"/>
                        <w:sz w:val="14"/>
                        <w:lang w:val="fr-FR"/>
                      </w:rPr>
                      <w:t xml:space="preserve">T Furuta et al., J Pai n Relief 2016, 5:3(Suppl) </w:t>
                    </w:r>
                    <w:hyperlink r:id="rId2">
                      <w:r w:rsidRPr="00EC53D6">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6F342C9" wp14:editId="7D56011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E4C6E"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26CA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342C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6DE4C6E"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26CA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22556721">
    <w:abstractNumId w:val="0"/>
  </w:num>
  <w:num w:numId="2" w16cid:durableId="1546257590">
    <w:abstractNumId w:val="1"/>
  </w:num>
  <w:num w:numId="3" w16cid:durableId="23108944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B4A7D"/>
    <w:rsid w:val="000E2911"/>
    <w:rsid w:val="001263DF"/>
    <w:rsid w:val="00185EA1"/>
    <w:rsid w:val="001E763C"/>
    <w:rsid w:val="00292ED9"/>
    <w:rsid w:val="002F6BBF"/>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54197"/>
    <w:rsid w:val="00A9710C"/>
    <w:rsid w:val="00AA3E21"/>
    <w:rsid w:val="00AE3E37"/>
    <w:rsid w:val="00B21A57"/>
    <w:rsid w:val="00B879DE"/>
    <w:rsid w:val="00C33602"/>
    <w:rsid w:val="00CD081A"/>
    <w:rsid w:val="00CD6F55"/>
    <w:rsid w:val="00D62425"/>
    <w:rsid w:val="00D84F1E"/>
    <w:rsid w:val="00DE3104"/>
    <w:rsid w:val="00DF7720"/>
    <w:rsid w:val="00E46DA0"/>
    <w:rsid w:val="00E66915"/>
    <w:rsid w:val="00EC53D6"/>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49A93"/>
  <w15:docId w15:val="{7898B9F8-206F-45AF-BCD0-23557FC74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AA3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mekroud@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669</Words>
  <Characters>3685</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13</cp:revision>
  <dcterms:created xsi:type="dcterms:W3CDTF">2016-08-31T13:10:00Z</dcterms:created>
  <dcterms:modified xsi:type="dcterms:W3CDTF">2024-02-17T19:40:00Z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