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1D" w:rsidRPr="00CA2BDA" w:rsidRDefault="000B311D" w:rsidP="00CA2BDA">
      <w:pPr>
        <w:keepNext/>
        <w:spacing w:line="276" w:lineRule="auto"/>
        <w:jc w:val="both"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61EB" w:rsidRPr="00CA2BDA" w:rsidRDefault="00AF61EB" w:rsidP="00CA2BDA">
      <w:pPr>
        <w:keepNext/>
        <w:spacing w:line="276" w:lineRule="auto"/>
        <w:jc w:val="both"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C0101D" w:rsidRPr="0078330A" w:rsidRDefault="00C0101D" w:rsidP="00C0101D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8330A">
        <w:rPr>
          <w:rFonts w:asciiTheme="majorBidi" w:hAnsiTheme="majorBidi" w:cstheme="majorBidi"/>
          <w:b/>
          <w:bCs/>
          <w:sz w:val="28"/>
          <w:szCs w:val="28"/>
        </w:rPr>
        <w:t>Common bile duct clearance of stones by open surgery,</w:t>
      </w:r>
      <w:r w:rsidR="00F5008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8330A">
        <w:rPr>
          <w:rFonts w:asciiTheme="majorBidi" w:hAnsiTheme="majorBidi" w:cstheme="majorBidi"/>
          <w:b/>
          <w:bCs/>
          <w:sz w:val="28"/>
          <w:szCs w:val="28"/>
        </w:rPr>
        <w:t>laparoscopic surgery, and endoscopic approaches</w:t>
      </w:r>
      <w:r w:rsidR="00F5008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8330A">
        <w:rPr>
          <w:rFonts w:asciiTheme="majorBidi" w:hAnsiTheme="majorBidi" w:cstheme="majorBidi"/>
          <w:b/>
          <w:bCs/>
          <w:sz w:val="28"/>
          <w:szCs w:val="28"/>
        </w:rPr>
        <w:t>(comparative study)</w:t>
      </w:r>
    </w:p>
    <w:p w:rsidR="00074C9C" w:rsidRPr="00CA2BDA" w:rsidRDefault="00074C9C" w:rsidP="00CA2BDA">
      <w:pPr>
        <w:spacing w:line="276" w:lineRule="auto"/>
        <w:jc w:val="both"/>
        <w:rPr>
          <w:rFonts w:eastAsia="MS PGothic"/>
          <w:b/>
          <w:color w:val="000000"/>
          <w:sz w:val="28"/>
          <w:szCs w:val="28"/>
        </w:rPr>
      </w:pPr>
    </w:p>
    <w:p w:rsidR="00B2340B" w:rsidRPr="00CA2BDA" w:rsidRDefault="00B2340B" w:rsidP="00CA2BDA">
      <w:pPr>
        <w:spacing w:line="276" w:lineRule="auto"/>
        <w:jc w:val="center"/>
        <w:rPr>
          <w:b/>
          <w:sz w:val="28"/>
          <w:szCs w:val="28"/>
        </w:rPr>
      </w:pPr>
      <w:r w:rsidRPr="00CA2BDA">
        <w:rPr>
          <w:rFonts w:eastAsia="MS PGothic" w:hAnsi="Arial"/>
          <w:color w:val="000000"/>
          <w:sz w:val="28"/>
          <w:szCs w:val="28"/>
        </w:rPr>
        <w:t>Mohammed A. Omar</w:t>
      </w:r>
    </w:p>
    <w:p w:rsidR="00B2340B" w:rsidRPr="00CA2BDA" w:rsidRDefault="00B2340B" w:rsidP="00CA2BDA">
      <w:pPr>
        <w:spacing w:line="276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CA2BDA">
        <w:rPr>
          <w:rFonts w:asciiTheme="majorBidi" w:hAnsiTheme="majorBidi" w:cstheme="majorBidi"/>
          <w:sz w:val="28"/>
          <w:szCs w:val="28"/>
          <w:shd w:val="clear" w:color="auto" w:fill="FFFFFF"/>
        </w:rPr>
        <w:t>General surgery department, South Valley University, Qena 83523, Egypt</w:t>
      </w:r>
    </w:p>
    <w:p w:rsidR="00DC433A" w:rsidRPr="00CA2BDA" w:rsidRDefault="00DC433A" w:rsidP="00CA2BDA">
      <w:pPr>
        <w:spacing w:line="276" w:lineRule="auto"/>
        <w:jc w:val="both"/>
        <w:rPr>
          <w:rFonts w:eastAsia="MS PGothic" w:hAnsi="Arial"/>
          <w:color w:val="000000"/>
          <w:sz w:val="28"/>
          <w:szCs w:val="28"/>
        </w:rPr>
      </w:pPr>
    </w:p>
    <w:p w:rsidR="00A0053C" w:rsidRPr="00CA2BDA" w:rsidRDefault="00A0053C" w:rsidP="00CA2BDA">
      <w:pPr>
        <w:spacing w:line="276" w:lineRule="auto"/>
        <w:jc w:val="both"/>
        <w:rPr>
          <w:color w:val="0000FF"/>
          <w:sz w:val="28"/>
          <w:szCs w:val="28"/>
        </w:rPr>
      </w:pPr>
    </w:p>
    <w:p w:rsidR="00C0101D" w:rsidRPr="0078330A" w:rsidRDefault="00C0101D" w:rsidP="00C0101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Around 10–18% of patients undergoing cholecystectomy for gallstones havecommon bile duct (CBD) stones. Treatment can be provided as opencholecystectomy plus open CBD exploration, laparoscopic cholecystectomy pluslaparoscopic common bile duct exploration (LC+LCBDE), or pre</w:t>
      </w:r>
      <w:r>
        <w:rPr>
          <w:rFonts w:asciiTheme="majorBidi" w:hAnsiTheme="majorBidi" w:cstheme="majorBidi" w:hint="cs"/>
          <w:sz w:val="28"/>
          <w:szCs w:val="28"/>
          <w:rtl/>
        </w:rPr>
        <w:t>-</w:t>
      </w:r>
      <w:r w:rsidRPr="0078330A">
        <w:rPr>
          <w:rFonts w:asciiTheme="majorBidi" w:hAnsiTheme="majorBidi" w:cstheme="majorBidi"/>
          <w:sz w:val="28"/>
          <w:szCs w:val="28"/>
        </w:rPr>
        <w:t>cholecystectomy orpost</w:t>
      </w:r>
      <w:r>
        <w:rPr>
          <w:rFonts w:asciiTheme="majorBidi" w:hAnsiTheme="majorBidi" w:cstheme="majorBidi" w:hint="cs"/>
          <w:sz w:val="28"/>
          <w:szCs w:val="28"/>
          <w:rtl/>
        </w:rPr>
        <w:t>-</w:t>
      </w:r>
      <w:r w:rsidRPr="0078330A">
        <w:rPr>
          <w:rFonts w:asciiTheme="majorBidi" w:hAnsiTheme="majorBidi" w:cstheme="majorBidi"/>
          <w:sz w:val="28"/>
          <w:szCs w:val="28"/>
        </w:rPr>
        <w:t>cholecystectomy endoscopic retrograde cholangio-pancreatography (ERCP)in two stages for CBD clearance. The aim of this study is to compare the CBDclearance rate by each procedure in a well-equipped tertiary center.</w:t>
      </w:r>
    </w:p>
    <w:p w:rsidR="00C0101D" w:rsidRPr="0078330A" w:rsidRDefault="00C0101D" w:rsidP="00C0101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A total of 250 patients with choledocholithiasis were included from the GeneralSurgery Department, Sohag and Assiut University Hospitals, and managedrandomly by either conventional surgery, endoscopic, or laparoscopic procedures.</w:t>
      </w:r>
    </w:p>
    <w:p w:rsidR="00C0101D" w:rsidRPr="0078330A" w:rsidRDefault="00C0101D" w:rsidP="00C0101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Patients were categorizedrandomly into three groups: group I included 100 patients (40%) who were treated byopen choledocho</w:t>
      </w:r>
      <w:r>
        <w:rPr>
          <w:rFonts w:asciiTheme="majorBidi" w:hAnsiTheme="majorBidi" w:cstheme="majorBidi"/>
          <w:sz w:val="28"/>
          <w:szCs w:val="28"/>
        </w:rPr>
        <w:t xml:space="preserve">lithotomy and T-tube insertion. </w:t>
      </w:r>
      <w:r w:rsidRPr="0078330A">
        <w:rPr>
          <w:rFonts w:asciiTheme="majorBidi" w:hAnsiTheme="majorBidi" w:cstheme="majorBidi"/>
          <w:sz w:val="28"/>
          <w:szCs w:val="28"/>
        </w:rPr>
        <w:t>Group II included100patients (40%)treatedby</w:t>
      </w:r>
      <w:r>
        <w:rPr>
          <w:rFonts w:asciiTheme="majorBidi" w:hAnsiTheme="majorBidi" w:cstheme="majorBidi"/>
          <w:sz w:val="28"/>
          <w:szCs w:val="28"/>
        </w:rPr>
        <w:t xml:space="preserve"> ERCP. </w:t>
      </w:r>
      <w:r w:rsidRPr="0078330A">
        <w:rPr>
          <w:rFonts w:asciiTheme="majorBidi" w:hAnsiTheme="majorBidi" w:cstheme="majorBidi"/>
          <w:sz w:val="28"/>
          <w:szCs w:val="28"/>
        </w:rPr>
        <w:t>Group III included 50 patients (20%)treated by laparoscopic approaches</w:t>
      </w:r>
    </w:p>
    <w:p w:rsidR="00C0101D" w:rsidRPr="0078330A" w:rsidRDefault="00C0101D" w:rsidP="00C0101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78330A">
        <w:rPr>
          <w:rFonts w:asciiTheme="majorBidi" w:hAnsiTheme="majorBidi" w:cstheme="majorBidi"/>
          <w:sz w:val="28"/>
          <w:szCs w:val="28"/>
        </w:rPr>
        <w:t xml:space="preserve">BothERCP/LCandLCBDEwerehighlyeffective inCBDclearance,andequal in termsofthe overall cost and patient acceptance. However, the overall duration of hospitalizationwas shorter for LCBDE with elimination of the potential risks of </w:t>
      </w:r>
      <w:r w:rsidRPr="0078330A">
        <w:rPr>
          <w:rFonts w:asciiTheme="majorBidi" w:hAnsiTheme="majorBidi" w:cstheme="majorBidi"/>
          <w:sz w:val="28"/>
          <w:szCs w:val="28"/>
        </w:rPr>
        <w:lastRenderedPageBreak/>
        <w:t>ERCP-associatedpancreatitis, further procedures, and anesthesia risks. It is feasible, cost-effective,and ultimately should be available for most patients in each specialized center.</w:t>
      </w:r>
    </w:p>
    <w:sectPr w:rsidR="00C0101D" w:rsidRPr="0078330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605F8"/>
    <w:rsid w:val="0002392A"/>
    <w:rsid w:val="00074C9C"/>
    <w:rsid w:val="000B311D"/>
    <w:rsid w:val="000D6718"/>
    <w:rsid w:val="001544F9"/>
    <w:rsid w:val="001B06AE"/>
    <w:rsid w:val="001F45A0"/>
    <w:rsid w:val="00265E72"/>
    <w:rsid w:val="002C359D"/>
    <w:rsid w:val="002C3D9B"/>
    <w:rsid w:val="0031455A"/>
    <w:rsid w:val="00363668"/>
    <w:rsid w:val="00384441"/>
    <w:rsid w:val="003A3C5A"/>
    <w:rsid w:val="003D04B0"/>
    <w:rsid w:val="00437503"/>
    <w:rsid w:val="004418F4"/>
    <w:rsid w:val="00441F91"/>
    <w:rsid w:val="004555B9"/>
    <w:rsid w:val="00463AC5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66CCB"/>
    <w:rsid w:val="008747F9"/>
    <w:rsid w:val="00887615"/>
    <w:rsid w:val="008E2F78"/>
    <w:rsid w:val="008E737B"/>
    <w:rsid w:val="00912F54"/>
    <w:rsid w:val="0092599B"/>
    <w:rsid w:val="009B6C76"/>
    <w:rsid w:val="009E52D9"/>
    <w:rsid w:val="00A0053C"/>
    <w:rsid w:val="00A4183E"/>
    <w:rsid w:val="00A50C1E"/>
    <w:rsid w:val="00A67093"/>
    <w:rsid w:val="00AA5A30"/>
    <w:rsid w:val="00AC5543"/>
    <w:rsid w:val="00AF61EB"/>
    <w:rsid w:val="00B03DB8"/>
    <w:rsid w:val="00B17C38"/>
    <w:rsid w:val="00B2340B"/>
    <w:rsid w:val="00B44878"/>
    <w:rsid w:val="00B8710A"/>
    <w:rsid w:val="00BA2068"/>
    <w:rsid w:val="00C0101D"/>
    <w:rsid w:val="00C07C5B"/>
    <w:rsid w:val="00C578FF"/>
    <w:rsid w:val="00C75A18"/>
    <w:rsid w:val="00C828BF"/>
    <w:rsid w:val="00CA2BDA"/>
    <w:rsid w:val="00CE6677"/>
    <w:rsid w:val="00CF7A09"/>
    <w:rsid w:val="00D605F8"/>
    <w:rsid w:val="00D734FE"/>
    <w:rsid w:val="00D841B1"/>
    <w:rsid w:val="00DC433A"/>
    <w:rsid w:val="00E63452"/>
    <w:rsid w:val="00ED2B89"/>
    <w:rsid w:val="00F50087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B2340B"/>
    <w:pPr>
      <w:jc w:val="center"/>
    </w:pPr>
    <w:rPr>
      <w:rFonts w:eastAsia="Times New Roman"/>
      <w:b/>
      <w:bCs/>
      <w:sz w:val="32"/>
      <w:szCs w:val="32"/>
      <w:lang w:eastAsia="en-US" w:bidi="ar-AE"/>
    </w:rPr>
  </w:style>
  <w:style w:type="character" w:customStyle="1" w:styleId="BodyTextChar">
    <w:name w:val="Body Text Char"/>
    <w:basedOn w:val="DefaultParagraphFont"/>
    <w:link w:val="BodyText"/>
    <w:semiHidden/>
    <w:rsid w:val="00B2340B"/>
    <w:rPr>
      <w:rFonts w:ascii="Times New Roman" w:eastAsia="Times New Roman" w:hAnsi="Times New Roman"/>
      <w:b/>
      <w:bCs/>
      <w:sz w:val="32"/>
      <w:szCs w:val="32"/>
      <w:lang w:bidi="ar-A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B2340B"/>
    <w:pPr>
      <w:jc w:val="center"/>
    </w:pPr>
    <w:rPr>
      <w:rFonts w:eastAsia="Times New Roman"/>
      <w:b/>
      <w:bCs/>
      <w:sz w:val="32"/>
      <w:szCs w:val="32"/>
      <w:lang w:eastAsia="en-US" w:bidi="ar-AE"/>
    </w:rPr>
  </w:style>
  <w:style w:type="character" w:customStyle="1" w:styleId="BodyTextChar">
    <w:name w:val="Body Text Char"/>
    <w:basedOn w:val="DefaultParagraphFont"/>
    <w:link w:val="BodyText"/>
    <w:semiHidden/>
    <w:rsid w:val="00B2340B"/>
    <w:rPr>
      <w:rFonts w:ascii="Times New Roman" w:eastAsia="Times New Roman" w:hAnsi="Times New Roman"/>
      <w:b/>
      <w:bCs/>
      <w:sz w:val="32"/>
      <w:szCs w:val="32"/>
      <w:lang w:bidi="ar-A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CHANGE_ME1</cp:lastModifiedBy>
  <cp:revision>13</cp:revision>
  <dcterms:created xsi:type="dcterms:W3CDTF">2016-05-09T06:49:00Z</dcterms:created>
  <dcterms:modified xsi:type="dcterms:W3CDTF">2018-02-16T09:09:00Z</dcterms:modified>
</cp:coreProperties>
</file>