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0C2" w:rsidRPr="00971F5A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71F5A">
        <w:rPr>
          <w:rFonts w:asciiTheme="majorBidi" w:hAnsiTheme="majorBidi" w:cstheme="majorBidi"/>
          <w:b/>
          <w:bCs/>
          <w:sz w:val="24"/>
          <w:szCs w:val="24"/>
        </w:rPr>
        <w:t xml:space="preserve">Nasobiliary guided laparoscopic cholecystectomy following endoscopic retrograde </w:t>
      </w:r>
      <w:proofErr w:type="spellStart"/>
      <w:r w:rsidRPr="00971F5A">
        <w:rPr>
          <w:rFonts w:asciiTheme="majorBidi" w:hAnsiTheme="majorBidi" w:cstheme="majorBidi"/>
          <w:b/>
          <w:bCs/>
          <w:sz w:val="24"/>
          <w:szCs w:val="24"/>
        </w:rPr>
        <w:t>cholangiopancreatography</w:t>
      </w:r>
      <w:proofErr w:type="spellEnd"/>
      <w:r w:rsidRPr="00971F5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B30C2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M. Sewefy</w:t>
      </w:r>
    </w:p>
    <w:p w:rsidR="007B30C2" w:rsidRDefault="00971F5A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 xml:space="preserve">Assistant </w:t>
      </w:r>
      <w:r w:rsidR="007B30C2">
        <w:rPr>
          <w:rFonts w:asciiTheme="majorBidi" w:hAnsiTheme="majorBidi" w:cstheme="majorBidi"/>
          <w:sz w:val="24"/>
          <w:szCs w:val="24"/>
        </w:rPr>
        <w:t>professor &amp; consultant of general surgery, Department of surgery, Minia university hospital, Egypt.</w:t>
      </w:r>
      <w:proofErr w:type="gramEnd"/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0081C">
        <w:rPr>
          <w:rFonts w:asciiTheme="majorBidi" w:hAnsiTheme="majorBidi" w:cstheme="majorBidi"/>
          <w:b/>
          <w:bCs/>
          <w:sz w:val="24"/>
          <w:szCs w:val="24"/>
        </w:rPr>
        <w:t>Background: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</w:t>
      </w:r>
      <w:r w:rsidRPr="004608CF">
        <w:rPr>
          <w:rFonts w:asciiTheme="majorBidi" w:hAnsiTheme="majorBidi" w:cstheme="majorBidi"/>
          <w:sz w:val="24"/>
          <w:szCs w:val="24"/>
        </w:rPr>
        <w:t xml:space="preserve">ndoscopic retrograde </w:t>
      </w:r>
      <w:proofErr w:type="spellStart"/>
      <w:r w:rsidRPr="004608CF">
        <w:rPr>
          <w:rFonts w:asciiTheme="majorBidi" w:hAnsiTheme="majorBidi" w:cstheme="majorBidi"/>
          <w:sz w:val="24"/>
          <w:szCs w:val="24"/>
        </w:rPr>
        <w:t>cholangiopancreatography</w:t>
      </w:r>
      <w:proofErr w:type="spellEnd"/>
      <w:r w:rsidRPr="004608CF">
        <w:rPr>
          <w:rFonts w:asciiTheme="majorBidi" w:hAnsiTheme="majorBidi" w:cstheme="majorBidi"/>
          <w:sz w:val="24"/>
          <w:szCs w:val="24"/>
        </w:rPr>
        <w:t xml:space="preserve"> (ERCP)</w:t>
      </w:r>
      <w:r w:rsidRPr="00B0081C">
        <w:rPr>
          <w:rFonts w:asciiTheme="majorBidi" w:hAnsiTheme="majorBidi" w:cstheme="majorBidi"/>
          <w:sz w:val="24"/>
          <w:szCs w:val="24"/>
        </w:rPr>
        <w:t xml:space="preserve"> followed by laparoscopic cholecystectomy (LC) is the most common management</w:t>
      </w:r>
      <w:r>
        <w:rPr>
          <w:rFonts w:asciiTheme="majorBidi" w:hAnsiTheme="majorBidi" w:cstheme="majorBidi"/>
          <w:sz w:val="24"/>
          <w:szCs w:val="24"/>
        </w:rPr>
        <w:t xml:space="preserve"> of gallstone combined with CBD stones. This study aimed to evaluate the impact of routine insertion of nasobiliary tube during ERCP in cases of difficult LC.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0081C">
        <w:rPr>
          <w:rFonts w:asciiTheme="majorBidi" w:hAnsiTheme="majorBidi" w:cstheme="majorBidi"/>
          <w:b/>
          <w:bCs/>
          <w:sz w:val="24"/>
          <w:szCs w:val="24"/>
        </w:rPr>
        <w:t xml:space="preserve"> Methods: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From total 110 patients </w:t>
      </w:r>
      <w:r w:rsidRPr="00394C47">
        <w:rPr>
          <w:rFonts w:asciiTheme="majorBidi" w:hAnsiTheme="majorBidi" w:cstheme="majorBidi"/>
          <w:sz w:val="24"/>
          <w:szCs w:val="24"/>
        </w:rPr>
        <w:t>underwent ERCP</w:t>
      </w:r>
      <w:r>
        <w:rPr>
          <w:rFonts w:asciiTheme="majorBidi" w:hAnsiTheme="majorBidi" w:cstheme="majorBidi"/>
          <w:sz w:val="24"/>
          <w:szCs w:val="24"/>
        </w:rPr>
        <w:t xml:space="preserve"> followed by</w:t>
      </w:r>
      <w:r w:rsidRPr="00394C47">
        <w:rPr>
          <w:rFonts w:asciiTheme="majorBidi" w:hAnsiTheme="majorBidi" w:cstheme="majorBidi"/>
          <w:sz w:val="24"/>
          <w:szCs w:val="24"/>
        </w:rPr>
        <w:t xml:space="preserve"> LC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B0081C">
        <w:rPr>
          <w:rFonts w:asciiTheme="majorBidi" w:hAnsiTheme="majorBidi" w:cstheme="majorBidi"/>
          <w:sz w:val="24"/>
          <w:szCs w:val="24"/>
        </w:rPr>
        <w:t xml:space="preserve">nasobiliary (NB) catheter was inserted in 55 patients after </w:t>
      </w:r>
      <w:smartTag w:uri="urn:schemas-microsoft-com:office:smarttags" w:element="stockticker">
        <w:r w:rsidRPr="00B0081C">
          <w:rPr>
            <w:rFonts w:asciiTheme="majorBidi" w:hAnsiTheme="majorBidi" w:cstheme="majorBidi"/>
            <w:sz w:val="24"/>
            <w:szCs w:val="24"/>
          </w:rPr>
          <w:t>CBD</w:t>
        </w:r>
      </w:smartTag>
      <w:r w:rsidRPr="00B0081C">
        <w:rPr>
          <w:rFonts w:asciiTheme="majorBidi" w:hAnsiTheme="majorBidi" w:cstheme="majorBidi"/>
          <w:sz w:val="24"/>
          <w:szCs w:val="24"/>
        </w:rPr>
        <w:t xml:space="preserve"> clearance (NB group). In the other 55 patients, only </w:t>
      </w:r>
      <w:smartTag w:uri="urn:schemas-microsoft-com:office:smarttags" w:element="stockticker">
        <w:r w:rsidRPr="00B0081C">
          <w:rPr>
            <w:rFonts w:asciiTheme="majorBidi" w:hAnsiTheme="majorBidi" w:cstheme="majorBidi"/>
            <w:sz w:val="24"/>
            <w:szCs w:val="24"/>
          </w:rPr>
          <w:t>CBD</w:t>
        </w:r>
      </w:smartTag>
      <w:r w:rsidRPr="00B0081C">
        <w:rPr>
          <w:rFonts w:asciiTheme="majorBidi" w:hAnsiTheme="majorBidi" w:cstheme="majorBidi"/>
          <w:sz w:val="24"/>
          <w:szCs w:val="24"/>
        </w:rPr>
        <w:t xml:space="preserve"> clearance was done (</w:t>
      </w:r>
      <w:r>
        <w:rPr>
          <w:rFonts w:asciiTheme="majorBidi" w:hAnsiTheme="majorBidi" w:cstheme="majorBidi"/>
          <w:sz w:val="24"/>
          <w:szCs w:val="24"/>
        </w:rPr>
        <w:t>Control group). I</w:t>
      </w:r>
      <w:r w:rsidRPr="00B0081C">
        <w:rPr>
          <w:rFonts w:asciiTheme="majorBidi" w:hAnsiTheme="majorBidi" w:cstheme="majorBidi"/>
          <w:sz w:val="24"/>
          <w:szCs w:val="24"/>
        </w:rPr>
        <w:t>n NB group</w:t>
      </w:r>
      <w:r>
        <w:rPr>
          <w:rFonts w:asciiTheme="majorBidi" w:hAnsiTheme="majorBidi" w:cstheme="majorBidi"/>
          <w:sz w:val="24"/>
          <w:szCs w:val="24"/>
        </w:rPr>
        <w:t>,</w:t>
      </w:r>
      <w:r w:rsidRPr="00B0081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dynamic tans-nasobiliary </w:t>
      </w:r>
      <w:r w:rsidR="00977CBB">
        <w:rPr>
          <w:rFonts w:asciiTheme="majorBidi" w:hAnsiTheme="majorBidi" w:cstheme="majorBidi"/>
          <w:sz w:val="24"/>
          <w:szCs w:val="24"/>
        </w:rPr>
        <w:t>IOC was</w:t>
      </w:r>
      <w:r>
        <w:rPr>
          <w:rFonts w:asciiTheme="majorBidi" w:hAnsiTheme="majorBidi" w:cstheme="majorBidi"/>
          <w:sz w:val="24"/>
          <w:szCs w:val="24"/>
        </w:rPr>
        <w:t xml:space="preserve"> done during dissection of Calot's triangle and at the end of the </w:t>
      </w:r>
      <w:r w:rsidR="00977CBB">
        <w:rPr>
          <w:rFonts w:asciiTheme="majorBidi" w:hAnsiTheme="majorBidi" w:cstheme="majorBidi"/>
          <w:sz w:val="24"/>
          <w:szCs w:val="24"/>
        </w:rPr>
        <w:t>procedure trans</w:t>
      </w:r>
      <w:r>
        <w:rPr>
          <w:rFonts w:asciiTheme="majorBidi" w:hAnsiTheme="majorBidi" w:cstheme="majorBidi"/>
          <w:sz w:val="24"/>
          <w:szCs w:val="24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</w:rPr>
        <w:t>nasobiliay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0081C">
        <w:rPr>
          <w:rFonts w:asciiTheme="majorBidi" w:hAnsiTheme="majorBidi" w:cstheme="majorBidi"/>
          <w:sz w:val="24"/>
          <w:szCs w:val="24"/>
        </w:rPr>
        <w:t xml:space="preserve">methylene blue </w:t>
      </w:r>
      <w:r>
        <w:rPr>
          <w:rFonts w:asciiTheme="majorBidi" w:hAnsiTheme="majorBidi" w:cstheme="majorBidi"/>
          <w:sz w:val="24"/>
          <w:szCs w:val="24"/>
        </w:rPr>
        <w:t xml:space="preserve">test was </w:t>
      </w:r>
      <w:r w:rsidR="00977CBB">
        <w:rPr>
          <w:rFonts w:asciiTheme="majorBidi" w:hAnsiTheme="majorBidi" w:cstheme="majorBidi"/>
          <w:sz w:val="24"/>
          <w:szCs w:val="24"/>
        </w:rPr>
        <w:t>done to</w:t>
      </w:r>
      <w:r>
        <w:rPr>
          <w:rFonts w:asciiTheme="majorBidi" w:hAnsiTheme="majorBidi" w:cstheme="majorBidi"/>
          <w:sz w:val="24"/>
          <w:szCs w:val="24"/>
        </w:rPr>
        <w:t xml:space="preserve"> test any hidden biliary injury.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 w:rsidRPr="00B0081C">
        <w:rPr>
          <w:rFonts w:asciiTheme="majorBidi" w:hAnsiTheme="majorBidi" w:cstheme="majorBidi"/>
          <w:b/>
          <w:bCs/>
          <w:sz w:val="24"/>
          <w:szCs w:val="24"/>
        </w:rPr>
        <w:t xml:space="preserve">Result 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Fifty seven patients (51.8%) were male and 53 (48.2</w:t>
      </w:r>
      <w:r w:rsidRPr="00B0081C">
        <w:rPr>
          <w:rFonts w:asciiTheme="majorBidi" w:hAnsiTheme="majorBidi" w:cstheme="majorBidi"/>
          <w:sz w:val="24"/>
          <w:szCs w:val="24"/>
        </w:rPr>
        <w:t>%) were female. Median age was 55. The average operative time in NB gr</w:t>
      </w:r>
      <w:r>
        <w:rPr>
          <w:rFonts w:asciiTheme="majorBidi" w:hAnsiTheme="majorBidi" w:cstheme="majorBidi"/>
          <w:sz w:val="24"/>
          <w:szCs w:val="24"/>
        </w:rPr>
        <w:t xml:space="preserve">oup was 115 min. VS. 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128 min. </w:t>
      </w:r>
      <w:r w:rsidRPr="00B0081C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Control</w:t>
      </w:r>
      <w:r w:rsidRPr="00B0081C">
        <w:rPr>
          <w:rFonts w:asciiTheme="majorBidi" w:hAnsiTheme="majorBidi" w:cstheme="majorBidi"/>
          <w:sz w:val="24"/>
          <w:szCs w:val="24"/>
        </w:rPr>
        <w:t xml:space="preserve"> group.</w:t>
      </w:r>
      <w:proofErr w:type="gramEnd"/>
      <w:r w:rsidRPr="00B0081C">
        <w:rPr>
          <w:rFonts w:asciiTheme="majorBidi" w:hAnsiTheme="majorBidi" w:cstheme="majorBidi"/>
          <w:sz w:val="24"/>
          <w:szCs w:val="24"/>
        </w:rPr>
        <w:t xml:space="preserve"> The average postoperative hospital stay was 2 ± 0.1 day</w:t>
      </w:r>
      <w:r>
        <w:rPr>
          <w:rFonts w:asciiTheme="majorBidi" w:hAnsiTheme="majorBidi" w:cstheme="majorBidi"/>
          <w:sz w:val="24"/>
          <w:szCs w:val="24"/>
        </w:rPr>
        <w:t>s</w:t>
      </w:r>
      <w:r w:rsidRPr="00B0081C">
        <w:rPr>
          <w:rFonts w:asciiTheme="majorBidi" w:hAnsiTheme="majorBidi" w:cstheme="majorBidi"/>
          <w:sz w:val="24"/>
          <w:szCs w:val="24"/>
        </w:rPr>
        <w:t xml:space="preserve"> i</w:t>
      </w:r>
      <w:r>
        <w:rPr>
          <w:rFonts w:asciiTheme="majorBidi" w:hAnsiTheme="majorBidi" w:cstheme="majorBidi"/>
          <w:sz w:val="24"/>
          <w:szCs w:val="24"/>
        </w:rPr>
        <w:t xml:space="preserve">n NB group VS. </w:t>
      </w:r>
      <w:proofErr w:type="gramStart"/>
      <w:r>
        <w:rPr>
          <w:rFonts w:asciiTheme="majorBidi" w:hAnsiTheme="majorBidi" w:cstheme="majorBidi"/>
          <w:sz w:val="24"/>
          <w:szCs w:val="24"/>
        </w:rPr>
        <w:t>3.6 ±5.3 days in Control</w:t>
      </w:r>
      <w:r w:rsidRPr="00B0081C">
        <w:rPr>
          <w:rFonts w:asciiTheme="majorBidi" w:hAnsiTheme="majorBidi" w:cstheme="majorBidi"/>
          <w:sz w:val="24"/>
          <w:szCs w:val="24"/>
        </w:rPr>
        <w:t xml:space="preserve"> group.</w:t>
      </w:r>
      <w:proofErr w:type="gramEnd"/>
      <w:r w:rsidRPr="00B0081C">
        <w:rPr>
          <w:rFonts w:asciiTheme="majorBidi" w:hAnsiTheme="majorBidi" w:cstheme="majorBidi"/>
          <w:sz w:val="24"/>
          <w:szCs w:val="24"/>
        </w:rPr>
        <w:t xml:space="preserve"> One case of biliary leak (1.8 %) occurred in </w:t>
      </w:r>
      <w:r>
        <w:rPr>
          <w:rFonts w:asciiTheme="majorBidi" w:hAnsiTheme="majorBidi" w:cstheme="majorBidi"/>
          <w:sz w:val="24"/>
          <w:szCs w:val="24"/>
        </w:rPr>
        <w:t xml:space="preserve">NB group </w:t>
      </w:r>
      <w:r>
        <w:rPr>
          <w:rFonts w:asciiTheme="majorBidi" w:hAnsiTheme="majorBidi" w:cstheme="majorBidi"/>
          <w:sz w:val="24"/>
          <w:szCs w:val="24"/>
        </w:rPr>
        <w:lastRenderedPageBreak/>
        <w:t>VS. 2 cases (3.6%) in Control</w:t>
      </w:r>
      <w:r w:rsidRPr="00B0081C">
        <w:rPr>
          <w:rFonts w:asciiTheme="majorBidi" w:hAnsiTheme="majorBidi" w:cstheme="majorBidi"/>
          <w:sz w:val="24"/>
          <w:szCs w:val="24"/>
        </w:rPr>
        <w:t xml:space="preserve"> group. No conversion to open in NB group (0%) VS. </w:t>
      </w:r>
      <w:proofErr w:type="gramStart"/>
      <w:r>
        <w:rPr>
          <w:rFonts w:asciiTheme="majorBidi" w:hAnsiTheme="majorBidi" w:cstheme="majorBidi"/>
          <w:sz w:val="24"/>
          <w:szCs w:val="24"/>
        </w:rPr>
        <w:t>5</w:t>
      </w:r>
      <w:r w:rsidRPr="00B0081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cases (9.1</w:t>
      </w:r>
      <w:r w:rsidRPr="00B0081C">
        <w:rPr>
          <w:rFonts w:asciiTheme="majorBidi" w:hAnsiTheme="majorBidi" w:cstheme="majorBidi"/>
          <w:sz w:val="24"/>
          <w:szCs w:val="24"/>
        </w:rPr>
        <w:t xml:space="preserve"> %) in </w:t>
      </w:r>
      <w:r>
        <w:rPr>
          <w:rFonts w:asciiTheme="majorBidi" w:hAnsiTheme="majorBidi" w:cstheme="majorBidi"/>
          <w:sz w:val="24"/>
          <w:szCs w:val="24"/>
        </w:rPr>
        <w:t>Control</w:t>
      </w:r>
      <w:r w:rsidRPr="00B0081C">
        <w:rPr>
          <w:rFonts w:asciiTheme="majorBidi" w:hAnsiTheme="majorBidi" w:cstheme="majorBidi"/>
          <w:sz w:val="24"/>
          <w:szCs w:val="24"/>
        </w:rPr>
        <w:t xml:space="preserve"> group.</w:t>
      </w:r>
      <w:proofErr w:type="gramEnd"/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0081C">
        <w:rPr>
          <w:rFonts w:asciiTheme="majorBidi" w:hAnsiTheme="majorBidi" w:cstheme="majorBidi"/>
          <w:b/>
          <w:bCs/>
          <w:sz w:val="24"/>
          <w:szCs w:val="24"/>
        </w:rPr>
        <w:t>Conclusion</w:t>
      </w:r>
    </w:p>
    <w:p w:rsidR="007B30C2" w:rsidRPr="00B0081C" w:rsidRDefault="007B30C2" w:rsidP="007B30C2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0081C">
        <w:rPr>
          <w:rFonts w:asciiTheme="majorBidi" w:hAnsiTheme="majorBidi" w:cstheme="majorBidi"/>
          <w:sz w:val="24"/>
          <w:szCs w:val="24"/>
        </w:rPr>
        <w:t>Routine nasobiliary insertion during ERCP</w:t>
      </w:r>
      <w:r>
        <w:rPr>
          <w:rFonts w:asciiTheme="majorBidi" w:hAnsiTheme="majorBidi" w:cstheme="majorBidi"/>
          <w:sz w:val="24"/>
          <w:szCs w:val="24"/>
        </w:rPr>
        <w:t>,</w:t>
      </w:r>
      <w:r w:rsidRPr="00B0081C">
        <w:rPr>
          <w:rFonts w:asciiTheme="majorBidi" w:hAnsiTheme="majorBidi" w:cstheme="majorBidi"/>
          <w:sz w:val="24"/>
          <w:szCs w:val="24"/>
        </w:rPr>
        <w:t xml:space="preserve"> in patients with combined gallblad</w:t>
      </w:r>
      <w:r>
        <w:rPr>
          <w:rFonts w:asciiTheme="majorBidi" w:hAnsiTheme="majorBidi" w:cstheme="majorBidi"/>
          <w:sz w:val="24"/>
          <w:szCs w:val="24"/>
        </w:rPr>
        <w:t>der and CBD stones, is simple,</w:t>
      </w:r>
      <w:r w:rsidRPr="00B0081C">
        <w:rPr>
          <w:rFonts w:asciiTheme="majorBidi" w:hAnsiTheme="majorBidi" w:cstheme="majorBidi"/>
          <w:sz w:val="24"/>
          <w:szCs w:val="24"/>
        </w:rPr>
        <w:t xml:space="preserve"> safe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B0081C">
        <w:rPr>
          <w:rFonts w:asciiTheme="majorBidi" w:hAnsiTheme="majorBidi" w:cstheme="majorBidi"/>
          <w:sz w:val="24"/>
          <w:szCs w:val="24"/>
        </w:rPr>
        <w:t>dynamic method for IOC and can be used to diagnose, minimize the se</w:t>
      </w:r>
      <w:r>
        <w:rPr>
          <w:rFonts w:asciiTheme="majorBidi" w:hAnsiTheme="majorBidi" w:cstheme="majorBidi"/>
          <w:sz w:val="24"/>
          <w:szCs w:val="24"/>
        </w:rPr>
        <w:t>verity and treat biliary injury.</w:t>
      </w:r>
    </w:p>
    <w:p w:rsidR="007B30C2" w:rsidRPr="00F94728" w:rsidRDefault="007B30C2" w:rsidP="007B30C2">
      <w:pPr>
        <w:bidi w:val="0"/>
        <w:spacing w:line="480" w:lineRule="auto"/>
        <w:jc w:val="both"/>
        <w:rPr>
          <w:rFonts w:ascii="Times New Roman" w:hAnsi="Times New Roman" w:cs="Times New Roman"/>
          <w:iCs/>
          <w:sz w:val="24"/>
        </w:rPr>
      </w:pPr>
      <w:r w:rsidRPr="00F94728">
        <w:rPr>
          <w:rFonts w:asciiTheme="majorBidi" w:hAnsiTheme="majorBidi" w:cstheme="majorBidi"/>
          <w:b/>
          <w:bCs/>
          <w:sz w:val="24"/>
          <w:szCs w:val="24"/>
          <w:lang w:bidi="ar-EG"/>
        </w:rPr>
        <w:t>Keyword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: difficult cholecystectomy, Intraoperative cholangiography, biliary injury, </w:t>
      </w:r>
      <w:r w:rsidRPr="00F94728">
        <w:rPr>
          <w:rFonts w:ascii="Times New Roman" w:hAnsi="Times New Roman" w:cs="Times New Roman"/>
          <w:iCs/>
          <w:sz w:val="24"/>
        </w:rPr>
        <w:t>combined gallstone and CBD stone, Nasobiliary catheter</w:t>
      </w:r>
    </w:p>
    <w:p w:rsidR="00971F5A" w:rsidRDefault="00971F5A" w:rsidP="0050692E">
      <w:pPr>
        <w:bidi w:val="0"/>
        <w:spacing w:line="480" w:lineRule="auto"/>
        <w:jc w:val="both"/>
        <w:rPr>
          <w:rFonts w:ascii="Times New Roman" w:hAnsi="Times New Roman" w:cs="Times New Roman"/>
          <w:b/>
          <w:bCs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</w:t>
      </w:r>
      <w:r w:rsidR="00F94728" w:rsidRPr="00F94728">
        <w:rPr>
          <w:rFonts w:ascii="Times New Roman" w:hAnsi="Times New Roman" w:cs="Times New Roman"/>
          <w:b/>
          <w:bCs/>
          <w:iCs/>
          <w:sz w:val="24"/>
        </w:rPr>
        <w:t>:</w:t>
      </w:r>
    </w:p>
    <w:p w:rsidR="0050692E" w:rsidRDefault="00F94728" w:rsidP="00971F5A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F9472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50692E" w:rsidRPr="00F94728">
        <w:rPr>
          <w:rFonts w:ascii="Times New Roman" w:hAnsi="Times New Roman" w:cs="Times New Roman"/>
          <w:iCs/>
          <w:sz w:val="24"/>
        </w:rPr>
        <w:t>Alaa</w:t>
      </w:r>
      <w:proofErr w:type="spellEnd"/>
      <w:r w:rsidR="0050692E" w:rsidRPr="00F94728">
        <w:rPr>
          <w:rFonts w:ascii="Times New Roman" w:hAnsi="Times New Roman" w:cs="Times New Roman"/>
          <w:iCs/>
          <w:sz w:val="24"/>
        </w:rPr>
        <w:t xml:space="preserve"> Sewefy currently works at the Department of General Surgery, Minia University. </w:t>
      </w:r>
      <w:proofErr w:type="spellStart"/>
      <w:r w:rsidR="0050692E" w:rsidRPr="00F94728">
        <w:rPr>
          <w:rFonts w:ascii="Times New Roman" w:hAnsi="Times New Roman" w:cs="Times New Roman"/>
          <w:iCs/>
          <w:sz w:val="24"/>
        </w:rPr>
        <w:t>Alaa</w:t>
      </w:r>
      <w:proofErr w:type="spellEnd"/>
      <w:r w:rsidR="0050692E" w:rsidRPr="00F94728">
        <w:rPr>
          <w:rFonts w:ascii="Times New Roman" w:hAnsi="Times New Roman" w:cs="Times New Roman"/>
          <w:iCs/>
          <w:sz w:val="24"/>
        </w:rPr>
        <w:t xml:space="preserve"> does research in Bariatric Surgery, Surgery and </w:t>
      </w:r>
      <w:proofErr w:type="gramStart"/>
      <w:r w:rsidR="0050692E" w:rsidRPr="00F94728">
        <w:rPr>
          <w:rFonts w:ascii="Times New Roman" w:hAnsi="Times New Roman" w:cs="Times New Roman"/>
          <w:iCs/>
          <w:sz w:val="24"/>
        </w:rPr>
        <w:t>Gastroenterology</w:t>
      </w:r>
      <w:r w:rsidR="0050692E" w:rsidRPr="00F94728">
        <w:rPr>
          <w:rFonts w:ascii="Times New Roman" w:hAnsi="Times New Roman" w:cs="Times New Roman"/>
          <w:iCs/>
          <w:sz w:val="24"/>
        </w:rPr>
        <w:t>,</w:t>
      </w:r>
      <w:proofErr w:type="gramEnd"/>
      <w:r w:rsidR="0050692E" w:rsidRPr="00F9472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50692E" w:rsidRPr="00F94728">
        <w:rPr>
          <w:rFonts w:ascii="Times New Roman" w:hAnsi="Times New Roman" w:cs="Times New Roman"/>
          <w:iCs/>
          <w:sz w:val="24"/>
        </w:rPr>
        <w:t>Alaa</w:t>
      </w:r>
      <w:proofErr w:type="spellEnd"/>
      <w:r w:rsidR="0050692E" w:rsidRPr="00F94728">
        <w:rPr>
          <w:rFonts w:ascii="Times New Roman" w:hAnsi="Times New Roman" w:cs="Times New Roman"/>
          <w:iCs/>
          <w:sz w:val="24"/>
        </w:rPr>
        <w:t xml:space="preserve"> </w:t>
      </w:r>
      <w:r w:rsidR="0050692E">
        <w:rPr>
          <w:rFonts w:ascii="Times New Roman" w:hAnsi="Times New Roman" w:cs="Times New Roman"/>
          <w:iCs/>
          <w:sz w:val="24"/>
        </w:rPr>
        <w:t>has completed his M</w:t>
      </w:r>
      <w:r w:rsidR="0050692E" w:rsidRPr="00DF04E3">
        <w:rPr>
          <w:rFonts w:ascii="Times New Roman" w:hAnsi="Times New Roman" w:cs="Times New Roman"/>
          <w:iCs/>
          <w:sz w:val="24"/>
        </w:rPr>
        <w:t xml:space="preserve">D at the age of </w:t>
      </w:r>
      <w:r w:rsidR="0050692E">
        <w:rPr>
          <w:rFonts w:ascii="Times New Roman" w:hAnsi="Times New Roman" w:cs="Times New Roman"/>
          <w:iCs/>
          <w:sz w:val="24"/>
        </w:rPr>
        <w:t>33</w:t>
      </w:r>
      <w:r w:rsidR="0050692E" w:rsidRPr="00DF04E3">
        <w:rPr>
          <w:rFonts w:ascii="Times New Roman" w:hAnsi="Times New Roman" w:cs="Times New Roman"/>
          <w:iCs/>
          <w:sz w:val="24"/>
        </w:rPr>
        <w:t xml:space="preserve"> years from</w:t>
      </w:r>
      <w:r w:rsidR="0050692E">
        <w:rPr>
          <w:rFonts w:ascii="Times New Roman" w:hAnsi="Times New Roman" w:cs="Times New Roman"/>
          <w:iCs/>
          <w:sz w:val="24"/>
        </w:rPr>
        <w:t xml:space="preserve"> Minia University, Egypt.</w:t>
      </w:r>
      <w:r w:rsidR="0050692E" w:rsidRPr="0050692E">
        <w:rPr>
          <w:rFonts w:ascii="Times New Roman" w:hAnsi="Times New Roman" w:cs="Times New Roman"/>
          <w:iCs/>
          <w:sz w:val="24"/>
        </w:rPr>
        <w:t xml:space="preserve"> </w:t>
      </w:r>
      <w:r w:rsidR="0050692E"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50692E" w:rsidRPr="00DF04E3">
        <w:rPr>
          <w:rFonts w:ascii="Times New Roman" w:hAnsi="Times New Roman" w:cs="Times New Roman"/>
          <w:iCs/>
          <w:sz w:val="24"/>
        </w:rPr>
        <w:t xml:space="preserve">5 papers in reputed journals and </w:t>
      </w:r>
      <w:r w:rsidR="0050692E">
        <w:rPr>
          <w:rFonts w:ascii="Times New Roman" w:hAnsi="Times New Roman" w:cs="Times New Roman"/>
          <w:iCs/>
          <w:sz w:val="24"/>
        </w:rPr>
        <w:t>has been serving as a reviewer in</w:t>
      </w:r>
      <w:r w:rsidR="0050692E" w:rsidRPr="00DF04E3">
        <w:rPr>
          <w:rFonts w:ascii="Times New Roman" w:hAnsi="Times New Roman" w:cs="Times New Roman"/>
          <w:iCs/>
          <w:sz w:val="24"/>
        </w:rPr>
        <w:t xml:space="preserve"> repute</w:t>
      </w:r>
      <w:r w:rsidR="0050692E">
        <w:rPr>
          <w:rFonts w:asciiTheme="majorBidi" w:hAnsiTheme="majorBidi" w:cstheme="majorBidi"/>
          <w:sz w:val="24"/>
          <w:szCs w:val="24"/>
          <w:lang w:bidi="ar-EG"/>
        </w:rPr>
        <w:t>d journal</w:t>
      </w:r>
      <w:r w:rsidR="00977CBB">
        <w:rPr>
          <w:rFonts w:asciiTheme="majorBidi" w:hAnsiTheme="majorBidi" w:cstheme="majorBidi"/>
          <w:sz w:val="24"/>
          <w:szCs w:val="24"/>
          <w:lang w:bidi="ar-EG"/>
        </w:rPr>
        <w:t>s</w:t>
      </w:r>
    </w:p>
    <w:p w:rsidR="00F94728" w:rsidRPr="00B0081C" w:rsidRDefault="00F94728" w:rsidP="00F94728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919235" cy="1919235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165579_1409549045839834_5027457753070520472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147" cy="191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1BC" w:rsidRDefault="00791743" w:rsidP="007B30C2">
      <w:pPr>
        <w:bidi w:val="0"/>
        <w:rPr>
          <w:lang w:bidi="ar-EG"/>
        </w:rPr>
      </w:pPr>
      <w:r>
        <w:rPr>
          <w:lang w:bidi="ar-EG"/>
        </w:rPr>
        <w:t xml:space="preserve">Email: </w:t>
      </w:r>
      <w:hyperlink r:id="rId6" w:history="1">
        <w:r w:rsidRPr="00065991">
          <w:rPr>
            <w:rStyle w:val="Hyperlink"/>
            <w:lang w:bidi="ar-EG"/>
          </w:rPr>
          <w:t>sewafy@yahoo.co.uk</w:t>
        </w:r>
      </w:hyperlink>
    </w:p>
    <w:p w:rsidR="00791743" w:rsidRDefault="00791743" w:rsidP="00791743">
      <w:pPr>
        <w:bidi w:val="0"/>
        <w:rPr>
          <w:rFonts w:hint="cs"/>
          <w:lang w:bidi="ar-EG"/>
        </w:rPr>
      </w:pPr>
      <w:bookmarkStart w:id="0" w:name="_GoBack"/>
      <w:bookmarkEnd w:id="0"/>
    </w:p>
    <w:sectPr w:rsidR="00791743" w:rsidSect="0097581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0C2"/>
    <w:rsid w:val="001141BC"/>
    <w:rsid w:val="0050692E"/>
    <w:rsid w:val="00791743"/>
    <w:rsid w:val="007B30C2"/>
    <w:rsid w:val="00971F5A"/>
    <w:rsid w:val="0097581B"/>
    <w:rsid w:val="00977CBB"/>
    <w:rsid w:val="00F9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0C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17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0C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7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17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wafy@yahoo.co.uk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330</Words>
  <Characters>1884</Characters>
  <Application>Microsoft Office Word</Application>
  <DocSecurity>0</DocSecurity>
  <Lines>15</Lines>
  <Paragraphs>4</Paragraphs>
  <ScaleCrop>false</ScaleCrop>
  <Company>Hewlett-Packard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2018-01-26T21:32:00Z</dcterms:created>
  <dcterms:modified xsi:type="dcterms:W3CDTF">2018-01-26T21:53:00Z</dcterms:modified>
</cp:coreProperties>
</file>