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9C1" w:rsidRDefault="00EB19C1">
      <w:pPr>
        <w:spacing w:line="20" w:lineRule="exact"/>
        <w:rPr>
          <w:sz w:val="24"/>
          <w:szCs w:val="24"/>
        </w:rPr>
      </w:pPr>
      <w:r>
        <w:rPr>
          <w:sz w:val="24"/>
          <w:szCs w:val="24"/>
        </w:rPr>
        <w:pict>
          <v:line id="Shape 2" o:spid="_x0000_s1027" style="position:absolute;z-index:251659264;visibility:visible;mso-wrap-distance-left:0;mso-wrap-distance-right:0" from="-1.75pt,13.9pt" to="522.8pt,13.9pt" o:allowincell="f" strokeweight=".16917mm"/>
        </w:pict>
      </w:r>
      <w:r>
        <w:rPr>
          <w:sz w:val="24"/>
          <w:szCs w:val="24"/>
        </w:rPr>
        <w:pict>
          <v:line id="Shape 3" o:spid="_x0000_s1028" style="position:absolute;z-index:251660288;visibility:visible;mso-wrap-distance-left:0;mso-wrap-distance-right:0" from="-1.5pt,13.65pt" to="-1.5pt,108.95pt" o:allowincell="f" strokeweight=".16917mm"/>
        </w:pict>
      </w:r>
      <w:r>
        <w:rPr>
          <w:sz w:val="24"/>
          <w:szCs w:val="24"/>
        </w:rPr>
        <w:pict>
          <v:line id="Shape 4" o:spid="_x0000_s1029" style="position:absolute;z-index:251661312;visibility:visible;mso-wrap-distance-left:0;mso-wrap-distance-right:0" from="522.6pt,13.65pt" to="522.6pt,108.95pt" o:allowincell="f" strokeweight=".16917mm"/>
        </w:pict>
      </w:r>
    </w:p>
    <w:p w:rsidR="00EB19C1" w:rsidRDefault="00EB19C1">
      <w:pPr>
        <w:spacing w:line="261" w:lineRule="exact"/>
        <w:rPr>
          <w:sz w:val="24"/>
          <w:szCs w:val="24"/>
        </w:rPr>
      </w:pPr>
    </w:p>
    <w:p w:rsidR="00EB19C1" w:rsidRDefault="00781E56">
      <w:pPr>
        <w:spacing w:line="239" w:lineRule="auto"/>
        <w:ind w:left="290" w:right="90"/>
        <w:jc w:val="center"/>
        <w:rPr>
          <w:sz w:val="20"/>
          <w:szCs w:val="20"/>
        </w:rPr>
      </w:pPr>
      <w:r>
        <w:rPr>
          <w:rFonts w:ascii="Cambria" w:eastAsia="Cambria" w:hAnsi="Cambria" w:cs="Cambria"/>
          <w:b/>
          <w:bCs/>
          <w:color w:val="FFFFFF"/>
          <w:sz w:val="28"/>
          <w:szCs w:val="28"/>
        </w:rPr>
        <w:t>Orbital extension of supraorbital angiolymphoid hyperplasia with eosinophilia</w:t>
      </w:r>
    </w:p>
    <w:p w:rsidR="00EB19C1" w:rsidRDefault="00EB19C1">
      <w:pPr>
        <w:spacing w:line="20" w:lineRule="exact"/>
        <w:rPr>
          <w:sz w:val="24"/>
          <w:szCs w:val="24"/>
        </w:rPr>
      </w:pPr>
      <w:r>
        <w:rPr>
          <w:sz w:val="24"/>
          <w:szCs w:val="24"/>
        </w:rPr>
        <w:pict>
          <v:rect id="Shape 5" o:spid="_x0000_s1030" style="position:absolute;margin-left:-1.3pt;margin-top:-32.6pt;width:523.65pt;height:94.75pt;z-index:-251650048;visibility:visible;mso-wrap-distance-left:0;mso-wrap-distance-right:0" o:allowincell="f" fillcolor="#c04f4c" stroked="f"/>
        </w:pict>
      </w:r>
    </w:p>
    <w:p w:rsidR="00EB19C1" w:rsidRDefault="00781E56">
      <w:pPr>
        <w:ind w:right="-219"/>
        <w:jc w:val="center"/>
        <w:rPr>
          <w:sz w:val="20"/>
          <w:szCs w:val="20"/>
        </w:rPr>
      </w:pPr>
      <w:r>
        <w:rPr>
          <w:rFonts w:ascii="Cambria" w:eastAsia="Cambria" w:hAnsi="Cambria" w:cs="Cambria"/>
          <w:color w:val="FFFFFF"/>
          <w:sz w:val="24"/>
          <w:szCs w:val="24"/>
        </w:rPr>
        <w:t>Bangal SV</w:t>
      </w:r>
      <w:r>
        <w:rPr>
          <w:rFonts w:ascii="Cambria" w:eastAsia="Cambria" w:hAnsi="Cambria" w:cs="Cambria"/>
          <w:color w:val="FFFFFF"/>
          <w:sz w:val="16"/>
          <w:szCs w:val="16"/>
        </w:rPr>
        <w:t>1</w:t>
      </w:r>
      <w:r>
        <w:rPr>
          <w:rFonts w:ascii="Cambria" w:eastAsia="Cambria" w:hAnsi="Cambria" w:cs="Cambria"/>
          <w:color w:val="FFFFFF"/>
          <w:sz w:val="24"/>
          <w:szCs w:val="24"/>
        </w:rPr>
        <w:t>, Chitgopekar RP</w:t>
      </w:r>
      <w:r>
        <w:rPr>
          <w:rFonts w:ascii="Cambria" w:eastAsia="Cambria" w:hAnsi="Cambria" w:cs="Cambria"/>
          <w:color w:val="FFFFFF"/>
          <w:sz w:val="16"/>
          <w:szCs w:val="16"/>
        </w:rPr>
        <w:t>2</w:t>
      </w:r>
      <w:r>
        <w:rPr>
          <w:rFonts w:ascii="Cambria" w:eastAsia="Cambria" w:hAnsi="Cambria" w:cs="Cambria"/>
          <w:color w:val="FFFFFF"/>
          <w:sz w:val="24"/>
          <w:szCs w:val="24"/>
        </w:rPr>
        <w:t>, Gupta AK</w:t>
      </w:r>
      <w:r>
        <w:rPr>
          <w:rFonts w:ascii="Cambria" w:eastAsia="Cambria" w:hAnsi="Cambria" w:cs="Cambria"/>
          <w:color w:val="FFFFFF"/>
          <w:sz w:val="16"/>
          <w:szCs w:val="16"/>
        </w:rPr>
        <w:t>3</w:t>
      </w:r>
      <w:r>
        <w:rPr>
          <w:rFonts w:ascii="Cambria" w:eastAsia="Cambria" w:hAnsi="Cambria" w:cs="Cambria"/>
          <w:color w:val="FFFFFF"/>
          <w:sz w:val="24"/>
          <w:szCs w:val="24"/>
        </w:rPr>
        <w:t>, Karle R</w:t>
      </w:r>
      <w:r>
        <w:rPr>
          <w:rFonts w:ascii="Cambria" w:eastAsia="Cambria" w:hAnsi="Cambria" w:cs="Cambria"/>
          <w:color w:val="FFFFFF"/>
          <w:sz w:val="16"/>
          <w:szCs w:val="16"/>
        </w:rPr>
        <w:t>4</w:t>
      </w:r>
    </w:p>
    <w:p w:rsidR="00EB19C1" w:rsidRDefault="00EB19C1">
      <w:pPr>
        <w:spacing w:line="113" w:lineRule="exact"/>
        <w:rPr>
          <w:sz w:val="24"/>
          <w:szCs w:val="24"/>
        </w:rPr>
      </w:pPr>
    </w:p>
    <w:p w:rsidR="00EB19C1" w:rsidRDefault="00781E56">
      <w:pPr>
        <w:numPr>
          <w:ilvl w:val="1"/>
          <w:numId w:val="1"/>
        </w:numPr>
        <w:tabs>
          <w:tab w:val="left" w:pos="1100"/>
        </w:tabs>
        <w:ind w:left="1100" w:hanging="207"/>
        <w:rPr>
          <w:rFonts w:ascii="Cambria" w:eastAsia="Cambria" w:hAnsi="Cambria" w:cs="Cambria"/>
          <w:color w:val="FFFFFF"/>
        </w:rPr>
      </w:pPr>
      <w:r>
        <w:rPr>
          <w:rFonts w:ascii="Cambria" w:eastAsia="Cambria" w:hAnsi="Cambria" w:cs="Cambria"/>
          <w:color w:val="FFFFFF"/>
        </w:rPr>
        <w:t xml:space="preserve">Professor and Head of Department, 2. Resident, Department Of </w:t>
      </w:r>
      <w:r>
        <w:rPr>
          <w:rFonts w:ascii="Cambria" w:eastAsia="Cambria" w:hAnsi="Cambria" w:cs="Cambria"/>
          <w:color w:val="FFFFFF"/>
        </w:rPr>
        <w:t>Ophthalmology, RMC, Loni</w:t>
      </w:r>
    </w:p>
    <w:p w:rsidR="00EB19C1" w:rsidRDefault="00EB19C1">
      <w:pPr>
        <w:spacing w:line="123" w:lineRule="exact"/>
        <w:rPr>
          <w:rFonts w:ascii="Cambria" w:eastAsia="Cambria" w:hAnsi="Cambria" w:cs="Cambria"/>
          <w:color w:val="FFFFFF"/>
        </w:rPr>
      </w:pPr>
    </w:p>
    <w:p w:rsidR="00EB19C1" w:rsidRDefault="00781E56">
      <w:pPr>
        <w:numPr>
          <w:ilvl w:val="0"/>
          <w:numId w:val="2"/>
        </w:numPr>
        <w:tabs>
          <w:tab w:val="left" w:pos="500"/>
        </w:tabs>
        <w:ind w:left="500" w:hanging="210"/>
        <w:rPr>
          <w:rFonts w:ascii="Cambria" w:eastAsia="Cambria" w:hAnsi="Cambria" w:cs="Cambria"/>
          <w:color w:val="FFFFFF"/>
        </w:rPr>
      </w:pPr>
      <w:r>
        <w:rPr>
          <w:rFonts w:ascii="Cambria" w:eastAsia="Cambria" w:hAnsi="Cambria" w:cs="Cambria"/>
          <w:color w:val="FFFFFF"/>
        </w:rPr>
        <w:t>Assistant Professor, Department Of Anaesthesiology, 4. Professor, Department Of Pathology, RMC, Loni</w:t>
      </w:r>
    </w:p>
    <w:p w:rsidR="00EB19C1" w:rsidRDefault="00EB19C1">
      <w:pPr>
        <w:spacing w:line="20" w:lineRule="exact"/>
        <w:rPr>
          <w:sz w:val="24"/>
          <w:szCs w:val="24"/>
        </w:rPr>
      </w:pPr>
      <w:r>
        <w:rPr>
          <w:sz w:val="24"/>
          <w:szCs w:val="24"/>
        </w:rPr>
        <w:pict>
          <v:line id="Shape 6" o:spid="_x0000_s1031" style="position:absolute;z-index:251662336;visibility:visible;mso-wrap-distance-left:0;mso-wrap-distance-right:0" from=".55pt,14pt" to="254.9pt,14pt" o:allowincell="f" strokeweight="2pt"/>
        </w:pict>
      </w:r>
    </w:p>
    <w:p w:rsidR="00EB19C1" w:rsidRDefault="00EB19C1">
      <w:pPr>
        <w:sectPr w:rsidR="00EB19C1">
          <w:pgSz w:w="11900" w:h="16841"/>
          <w:pgMar w:top="645" w:right="839" w:bottom="0" w:left="840" w:header="0" w:footer="0" w:gutter="0"/>
          <w:cols w:space="720" w:equalWidth="0">
            <w:col w:w="10220"/>
          </w:cols>
        </w:sectPr>
      </w:pPr>
    </w:p>
    <w:p w:rsidR="00EB19C1" w:rsidRDefault="00EB19C1">
      <w:pPr>
        <w:spacing w:line="384" w:lineRule="exact"/>
        <w:rPr>
          <w:sz w:val="24"/>
          <w:szCs w:val="24"/>
        </w:rPr>
      </w:pPr>
    </w:p>
    <w:p w:rsidR="00EB19C1" w:rsidRDefault="00781E56">
      <w:pPr>
        <w:ind w:left="1900"/>
        <w:rPr>
          <w:sz w:val="20"/>
          <w:szCs w:val="20"/>
        </w:rPr>
      </w:pPr>
      <w:r>
        <w:rPr>
          <w:rFonts w:ascii="Calibri" w:eastAsia="Calibri" w:hAnsi="Calibri" w:cs="Calibri"/>
          <w:color w:val="993200"/>
          <w:sz w:val="24"/>
          <w:szCs w:val="24"/>
        </w:rPr>
        <w:t>CASE REPORT</w:t>
      </w:r>
    </w:p>
    <w:p w:rsidR="00EB19C1" w:rsidRDefault="00781E56">
      <w:pPr>
        <w:spacing w:line="20" w:lineRule="exact"/>
        <w:rPr>
          <w:sz w:val="24"/>
          <w:szCs w:val="24"/>
        </w:rPr>
      </w:pPr>
      <w:r>
        <w:rPr>
          <w:noProof/>
          <w:sz w:val="24"/>
          <w:szCs w:val="24"/>
        </w:rPr>
        <w:drawing>
          <wp:anchor distT="0" distB="0" distL="114300" distR="114300" simplePos="0" relativeHeight="251650048" behindDoc="1" locked="0" layoutInCell="0" allowOverlap="1">
            <wp:simplePos x="0" y="0"/>
            <wp:positionH relativeFrom="column">
              <wp:posOffset>-2540</wp:posOffset>
            </wp:positionH>
            <wp:positionV relativeFrom="paragraph">
              <wp:posOffset>135890</wp:posOffset>
            </wp:positionV>
            <wp:extent cx="3229610" cy="2667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extLst>
                    </a:blip>
                    <a:srcRect/>
                    <a:stretch>
                      <a:fillRect/>
                    </a:stretch>
                  </pic:blipFill>
                  <pic:spPr bwMode="auto">
                    <a:xfrm>
                      <a:off x="0" y="0"/>
                      <a:ext cx="3229610" cy="26670"/>
                    </a:xfrm>
                    <a:prstGeom prst="rect">
                      <a:avLst/>
                    </a:prstGeom>
                    <a:noFill/>
                  </pic:spPr>
                </pic:pic>
              </a:graphicData>
            </a:graphic>
          </wp:anchor>
        </w:drawing>
      </w:r>
    </w:p>
    <w:p w:rsidR="00EB19C1" w:rsidRDefault="00EB19C1">
      <w:pPr>
        <w:spacing w:line="200" w:lineRule="exact"/>
        <w:rPr>
          <w:sz w:val="24"/>
          <w:szCs w:val="24"/>
        </w:rPr>
      </w:pPr>
    </w:p>
    <w:p w:rsidR="00EB19C1" w:rsidRDefault="00EB19C1">
      <w:pPr>
        <w:spacing w:line="312" w:lineRule="exact"/>
        <w:rPr>
          <w:sz w:val="24"/>
          <w:szCs w:val="24"/>
        </w:rPr>
      </w:pPr>
    </w:p>
    <w:p w:rsidR="00EB19C1" w:rsidRDefault="00781E56">
      <w:pPr>
        <w:spacing w:line="336" w:lineRule="auto"/>
        <w:rPr>
          <w:rFonts w:ascii="Calibri" w:eastAsia="Calibri" w:hAnsi="Calibri" w:cs="Calibri"/>
          <w:sz w:val="20"/>
          <w:szCs w:val="20"/>
        </w:rPr>
      </w:pPr>
      <w:r>
        <w:rPr>
          <w:rFonts w:ascii="Calibri" w:eastAsia="Calibri" w:hAnsi="Calibri" w:cs="Calibri"/>
          <w:sz w:val="20"/>
          <w:szCs w:val="20"/>
        </w:rPr>
        <w:t xml:space="preserve">Bangal S.V. et.al: Case report: Orbital extension of supraorbital angiolymphoid hyperplasia with eosinophilia. AMJ 2011, 4, 3, 111-3 Doi: </w:t>
      </w:r>
      <w:hyperlink r:id="rId6">
        <w:r>
          <w:rPr>
            <w:rFonts w:ascii="Calibri" w:eastAsia="Calibri" w:hAnsi="Calibri" w:cs="Calibri"/>
            <w:sz w:val="20"/>
            <w:szCs w:val="20"/>
          </w:rPr>
          <w:t>http://doi.org/10.21767/AMJ.2011.548</w:t>
        </w:r>
      </w:hyperlink>
    </w:p>
    <w:p w:rsidR="00EB19C1" w:rsidRDefault="00EB19C1">
      <w:pPr>
        <w:spacing w:line="20" w:lineRule="exact"/>
        <w:rPr>
          <w:sz w:val="24"/>
          <w:szCs w:val="24"/>
        </w:rPr>
      </w:pPr>
      <w:r>
        <w:rPr>
          <w:sz w:val="24"/>
          <w:szCs w:val="24"/>
        </w:rPr>
        <w:pict>
          <v:line id="Shape 8" o:spid="_x0000_s1033" style="position:absolute;z-index:251663360;visibility:visible;mso-wrap-distance-left:0;mso-wrap-distance-right:0" from="-.25pt,11.85pt" to="254.05pt,11.85pt" o:allowincell="f" strokeweight="2pt"/>
        </w:pict>
      </w:r>
    </w:p>
    <w:p w:rsidR="00EB19C1" w:rsidRDefault="00EB19C1">
      <w:pPr>
        <w:spacing w:line="320" w:lineRule="exact"/>
        <w:rPr>
          <w:sz w:val="24"/>
          <w:szCs w:val="24"/>
        </w:rPr>
      </w:pPr>
    </w:p>
    <w:p w:rsidR="00EB19C1" w:rsidRDefault="00781E56">
      <w:pPr>
        <w:ind w:left="120"/>
        <w:rPr>
          <w:sz w:val="20"/>
          <w:szCs w:val="20"/>
        </w:rPr>
      </w:pPr>
      <w:r>
        <w:rPr>
          <w:rFonts w:ascii="Calibri" w:eastAsia="Calibri" w:hAnsi="Calibri" w:cs="Calibri"/>
          <w:color w:val="993200"/>
          <w:sz w:val="20"/>
          <w:szCs w:val="20"/>
        </w:rPr>
        <w:t>Corresponding Author:</w:t>
      </w:r>
    </w:p>
    <w:p w:rsidR="00EB19C1" w:rsidRDefault="00EB19C1">
      <w:pPr>
        <w:spacing w:line="5" w:lineRule="exact"/>
        <w:rPr>
          <w:sz w:val="24"/>
          <w:szCs w:val="24"/>
        </w:rPr>
      </w:pPr>
    </w:p>
    <w:p w:rsidR="00EB19C1" w:rsidRDefault="00781E56">
      <w:pPr>
        <w:ind w:left="120"/>
        <w:rPr>
          <w:sz w:val="20"/>
          <w:szCs w:val="20"/>
        </w:rPr>
      </w:pPr>
      <w:r>
        <w:rPr>
          <w:rFonts w:ascii="Calibri" w:eastAsia="Calibri" w:hAnsi="Calibri" w:cs="Calibri"/>
          <w:sz w:val="20"/>
          <w:szCs w:val="20"/>
        </w:rPr>
        <w:t>R</w:t>
      </w:r>
      <w:r>
        <w:rPr>
          <w:rFonts w:ascii="Calibri" w:eastAsia="Calibri" w:hAnsi="Calibri" w:cs="Calibri"/>
          <w:sz w:val="20"/>
          <w:szCs w:val="20"/>
        </w:rPr>
        <w:t>ajeev P. Chitgopekar</w:t>
      </w:r>
    </w:p>
    <w:p w:rsidR="00EB19C1" w:rsidRDefault="00781E56">
      <w:pPr>
        <w:spacing w:line="233" w:lineRule="auto"/>
        <w:ind w:left="120"/>
        <w:rPr>
          <w:sz w:val="20"/>
          <w:szCs w:val="20"/>
        </w:rPr>
      </w:pPr>
      <w:r>
        <w:rPr>
          <w:rFonts w:ascii="Calibri" w:eastAsia="Calibri" w:hAnsi="Calibri" w:cs="Calibri"/>
          <w:sz w:val="20"/>
          <w:szCs w:val="20"/>
        </w:rPr>
        <w:t>207, Department Of Ophthalmology, Rural Medical College</w:t>
      </w:r>
    </w:p>
    <w:p w:rsidR="00EB19C1" w:rsidRDefault="00EB19C1">
      <w:pPr>
        <w:spacing w:line="1" w:lineRule="exact"/>
        <w:rPr>
          <w:sz w:val="24"/>
          <w:szCs w:val="24"/>
        </w:rPr>
      </w:pPr>
    </w:p>
    <w:p w:rsidR="00EB19C1" w:rsidRDefault="00781E56">
      <w:pPr>
        <w:ind w:left="120"/>
        <w:rPr>
          <w:sz w:val="20"/>
          <w:szCs w:val="20"/>
        </w:rPr>
      </w:pPr>
      <w:r>
        <w:rPr>
          <w:rFonts w:ascii="Calibri" w:eastAsia="Calibri" w:hAnsi="Calibri" w:cs="Calibri"/>
          <w:sz w:val="20"/>
          <w:szCs w:val="20"/>
        </w:rPr>
        <w:t>of Pravara Institute of Medical Sciences, Loni, Rahata,</w:t>
      </w:r>
    </w:p>
    <w:p w:rsidR="00EB19C1" w:rsidRDefault="00781E56">
      <w:pPr>
        <w:spacing w:line="238" w:lineRule="auto"/>
        <w:ind w:left="120"/>
        <w:rPr>
          <w:sz w:val="20"/>
          <w:szCs w:val="20"/>
        </w:rPr>
      </w:pPr>
      <w:r>
        <w:rPr>
          <w:rFonts w:ascii="Calibri" w:eastAsia="Calibri" w:hAnsi="Calibri" w:cs="Calibri"/>
          <w:sz w:val="20"/>
          <w:szCs w:val="20"/>
        </w:rPr>
        <w:t>Ahmednagar, Maharashtra, India.</w:t>
      </w:r>
    </w:p>
    <w:p w:rsidR="00EB19C1" w:rsidRDefault="00EB19C1">
      <w:pPr>
        <w:spacing w:line="3" w:lineRule="exact"/>
        <w:rPr>
          <w:sz w:val="24"/>
          <w:szCs w:val="24"/>
        </w:rPr>
      </w:pPr>
    </w:p>
    <w:p w:rsidR="00EB19C1" w:rsidRDefault="00EB19C1">
      <w:pPr>
        <w:ind w:left="120"/>
        <w:rPr>
          <w:rFonts w:ascii="Calibri" w:eastAsia="Calibri" w:hAnsi="Calibri" w:cs="Calibri"/>
          <w:color w:val="0000FF"/>
          <w:sz w:val="20"/>
          <w:szCs w:val="20"/>
          <w:u w:val="single"/>
        </w:rPr>
      </w:pPr>
      <w:hyperlink r:id="rId7">
        <w:r w:rsidR="00781E56">
          <w:rPr>
            <w:rFonts w:ascii="Calibri" w:eastAsia="Calibri" w:hAnsi="Calibri" w:cs="Calibri"/>
            <w:color w:val="0000FF"/>
            <w:sz w:val="20"/>
            <w:szCs w:val="20"/>
            <w:u w:val="single"/>
          </w:rPr>
          <w:t>Email: rajuchitgopekar@yahoo.co.in</w:t>
        </w:r>
      </w:hyperlink>
    </w:p>
    <w:p w:rsidR="00EB19C1" w:rsidRDefault="00781E56">
      <w:pPr>
        <w:spacing w:line="20" w:lineRule="exact"/>
        <w:rPr>
          <w:sz w:val="24"/>
          <w:szCs w:val="24"/>
        </w:rPr>
      </w:pPr>
      <w:r>
        <w:rPr>
          <w:noProof/>
          <w:sz w:val="24"/>
          <w:szCs w:val="24"/>
        </w:rPr>
        <w:drawing>
          <wp:anchor distT="0" distB="0" distL="114300" distR="114300" simplePos="0" relativeHeight="251651072" behindDoc="1" locked="0" layoutInCell="0" allowOverlap="1">
            <wp:simplePos x="0" y="0"/>
            <wp:positionH relativeFrom="column">
              <wp:posOffset>-59055</wp:posOffset>
            </wp:positionH>
            <wp:positionV relativeFrom="paragraph">
              <wp:posOffset>138430</wp:posOffset>
            </wp:positionV>
            <wp:extent cx="3229610" cy="2667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extLst>
                    </a:blip>
                    <a:srcRect/>
                    <a:stretch>
                      <a:fillRect/>
                    </a:stretch>
                  </pic:blipFill>
                  <pic:spPr bwMode="auto">
                    <a:xfrm>
                      <a:off x="0" y="0"/>
                      <a:ext cx="3229610" cy="26670"/>
                    </a:xfrm>
                    <a:prstGeom prst="rect">
                      <a:avLst/>
                    </a:prstGeom>
                    <a:noFill/>
                  </pic:spPr>
                </pic:pic>
              </a:graphicData>
            </a:graphic>
          </wp:anchor>
        </w:drawing>
      </w:r>
    </w:p>
    <w:p w:rsidR="00EB19C1" w:rsidRDefault="00EB19C1">
      <w:pPr>
        <w:spacing w:line="354" w:lineRule="exact"/>
        <w:rPr>
          <w:sz w:val="24"/>
          <w:szCs w:val="24"/>
        </w:rPr>
      </w:pPr>
    </w:p>
    <w:p w:rsidR="00EB19C1" w:rsidRDefault="00781E56">
      <w:pPr>
        <w:ind w:left="2180"/>
        <w:rPr>
          <w:sz w:val="20"/>
          <w:szCs w:val="20"/>
        </w:rPr>
      </w:pPr>
      <w:r>
        <w:rPr>
          <w:rFonts w:ascii="Calibri" w:eastAsia="Calibri" w:hAnsi="Calibri" w:cs="Calibri"/>
          <w:color w:val="993200"/>
          <w:sz w:val="24"/>
          <w:szCs w:val="24"/>
        </w:rPr>
        <w:t>Abstract</w:t>
      </w:r>
    </w:p>
    <w:p w:rsidR="00EB19C1" w:rsidRDefault="00781E56">
      <w:pPr>
        <w:spacing w:line="20" w:lineRule="exact"/>
        <w:rPr>
          <w:sz w:val="24"/>
          <w:szCs w:val="24"/>
        </w:rPr>
      </w:pPr>
      <w:r>
        <w:rPr>
          <w:noProof/>
          <w:sz w:val="24"/>
          <w:szCs w:val="24"/>
        </w:rPr>
        <w:drawing>
          <wp:anchor distT="0" distB="0" distL="114300" distR="114300" simplePos="0" relativeHeight="251652096" behindDoc="1" locked="0" layoutInCell="0" allowOverlap="1">
            <wp:simplePos x="0" y="0"/>
            <wp:positionH relativeFrom="column">
              <wp:posOffset>-55245</wp:posOffset>
            </wp:positionH>
            <wp:positionV relativeFrom="paragraph">
              <wp:posOffset>59690</wp:posOffset>
            </wp:positionV>
            <wp:extent cx="3229610" cy="266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extLst>
                    </a:blip>
                    <a:srcRect/>
                    <a:stretch>
                      <a:fillRect/>
                    </a:stretch>
                  </pic:blipFill>
                  <pic:spPr bwMode="auto">
                    <a:xfrm>
                      <a:off x="0" y="0"/>
                      <a:ext cx="3229610" cy="26670"/>
                    </a:xfrm>
                    <a:prstGeom prst="rect">
                      <a:avLst/>
                    </a:prstGeom>
                    <a:noFill/>
                  </pic:spPr>
                </pic:pic>
              </a:graphicData>
            </a:graphic>
          </wp:anchor>
        </w:drawing>
      </w:r>
    </w:p>
    <w:p w:rsidR="00EB19C1" w:rsidRDefault="00EB19C1">
      <w:pPr>
        <w:spacing w:line="315" w:lineRule="exact"/>
        <w:rPr>
          <w:sz w:val="24"/>
          <w:szCs w:val="24"/>
        </w:rPr>
      </w:pPr>
    </w:p>
    <w:p w:rsidR="00EB19C1" w:rsidRDefault="00781E56">
      <w:pPr>
        <w:spacing w:line="344" w:lineRule="auto"/>
        <w:rPr>
          <w:sz w:val="20"/>
          <w:szCs w:val="20"/>
        </w:rPr>
      </w:pPr>
      <w:r>
        <w:rPr>
          <w:rFonts w:ascii="Calibri" w:eastAsia="Calibri" w:hAnsi="Calibri" w:cs="Calibri"/>
          <w:sz w:val="20"/>
          <w:szCs w:val="20"/>
        </w:rPr>
        <w:t>Angiolymphoid hyperplasia with eosinophilia (ALHE) is a rare clinicopathologic entity that shares both clinical and histopathological features with Kimura disease. Although they were once considered as different stages of the same disease, the</w:t>
      </w:r>
      <w:r>
        <w:rPr>
          <w:rFonts w:ascii="Calibri" w:eastAsia="Calibri" w:hAnsi="Calibri" w:cs="Calibri"/>
          <w:sz w:val="20"/>
          <w:szCs w:val="20"/>
        </w:rPr>
        <w:t>y are now known to represent separate entities. ALHE is a condition that causes swellings in the head and neck region affecting muscular arteries and is benign in nature.</w:t>
      </w:r>
      <w:r>
        <w:rPr>
          <w:rFonts w:ascii="Calibri" w:eastAsia="Calibri" w:hAnsi="Calibri" w:cs="Calibri"/>
          <w:sz w:val="25"/>
          <w:szCs w:val="25"/>
          <w:vertAlign w:val="superscript"/>
        </w:rPr>
        <w:t>1</w:t>
      </w:r>
      <w:r>
        <w:rPr>
          <w:rFonts w:ascii="Calibri" w:eastAsia="Calibri" w:hAnsi="Calibri" w:cs="Calibri"/>
          <w:sz w:val="20"/>
          <w:szCs w:val="20"/>
        </w:rPr>
        <w:t xml:space="preserve"> Orbital involvement is unusual. Diagnosis of ALHE is frequently confused with malign</w:t>
      </w:r>
      <w:r>
        <w:rPr>
          <w:rFonts w:ascii="Calibri" w:eastAsia="Calibri" w:hAnsi="Calibri" w:cs="Calibri"/>
          <w:sz w:val="20"/>
          <w:szCs w:val="20"/>
        </w:rPr>
        <w:t>ant tumour until biopsy is done.</w:t>
      </w:r>
      <w:r>
        <w:rPr>
          <w:rFonts w:ascii="Calibri" w:eastAsia="Calibri" w:hAnsi="Calibri" w:cs="Calibri"/>
          <w:sz w:val="25"/>
          <w:szCs w:val="25"/>
          <w:vertAlign w:val="superscript"/>
        </w:rPr>
        <w:t>4</w:t>
      </w:r>
      <w:r>
        <w:rPr>
          <w:rFonts w:ascii="Calibri" w:eastAsia="Calibri" w:hAnsi="Calibri" w:cs="Calibri"/>
          <w:sz w:val="20"/>
          <w:szCs w:val="20"/>
        </w:rPr>
        <w:t xml:space="preserve"> We present here a young female with unilateral, painless and slowly progressive swelling on the inner and upper aspect of her left orbit, who was diagnosed as a case of ALHE with orbital involvement on the basis of CT scan</w:t>
      </w:r>
      <w:r>
        <w:rPr>
          <w:rFonts w:ascii="Calibri" w:eastAsia="Calibri" w:hAnsi="Calibri" w:cs="Calibri"/>
          <w:sz w:val="20"/>
          <w:szCs w:val="20"/>
        </w:rPr>
        <w:t xml:space="preserve"> and excisional biopsy. Regular follow up was performed and no evidence of recurrence was found.</w:t>
      </w:r>
    </w:p>
    <w:p w:rsidR="00EB19C1" w:rsidRDefault="00EB19C1">
      <w:pPr>
        <w:spacing w:line="17" w:lineRule="exact"/>
        <w:rPr>
          <w:sz w:val="24"/>
          <w:szCs w:val="24"/>
        </w:rPr>
      </w:pPr>
    </w:p>
    <w:p w:rsidR="00EB19C1" w:rsidRDefault="00781E56">
      <w:pPr>
        <w:rPr>
          <w:sz w:val="20"/>
          <w:szCs w:val="20"/>
        </w:rPr>
      </w:pPr>
      <w:r>
        <w:rPr>
          <w:rFonts w:ascii="Calibri" w:eastAsia="Calibri" w:hAnsi="Calibri" w:cs="Calibri"/>
          <w:color w:val="993200"/>
          <w:sz w:val="20"/>
          <w:szCs w:val="20"/>
        </w:rPr>
        <w:t>Key Words</w:t>
      </w:r>
      <w:r>
        <w:rPr>
          <w:rFonts w:ascii="Calibri" w:eastAsia="Calibri" w:hAnsi="Calibri" w:cs="Calibri"/>
          <w:color w:val="000000"/>
          <w:sz w:val="20"/>
          <w:szCs w:val="20"/>
        </w:rPr>
        <w:t>: Orbit, angiolymphoid hyperplasia, eosinophilia.</w:t>
      </w:r>
    </w:p>
    <w:p w:rsidR="00EB19C1" w:rsidRDefault="00EB19C1">
      <w:pPr>
        <w:spacing w:line="20" w:lineRule="exact"/>
        <w:rPr>
          <w:sz w:val="24"/>
          <w:szCs w:val="24"/>
        </w:rPr>
      </w:pPr>
      <w:r>
        <w:rPr>
          <w:sz w:val="24"/>
          <w:szCs w:val="24"/>
        </w:rPr>
        <w:pict>
          <v:line id="Shape 11" o:spid="_x0000_s1036" style="position:absolute;z-index:251664384;visibility:visible;mso-wrap-distance-left:0;mso-wrap-distance-right:0" from="-.25pt,10.4pt" to="254.05pt,10.4pt" o:allowincell="f" strokeweight="2pt"/>
        </w:pict>
      </w:r>
    </w:p>
    <w:p w:rsidR="00EB19C1" w:rsidRDefault="00EB19C1">
      <w:pPr>
        <w:spacing w:line="321" w:lineRule="exact"/>
        <w:rPr>
          <w:sz w:val="24"/>
          <w:szCs w:val="24"/>
        </w:rPr>
      </w:pPr>
    </w:p>
    <w:p w:rsidR="00EB19C1" w:rsidRDefault="00781E56">
      <w:pPr>
        <w:rPr>
          <w:sz w:val="20"/>
          <w:szCs w:val="20"/>
        </w:rPr>
      </w:pPr>
      <w:r>
        <w:rPr>
          <w:rFonts w:ascii="Calibri" w:eastAsia="Calibri" w:hAnsi="Calibri" w:cs="Calibri"/>
          <w:color w:val="C00000"/>
          <w:sz w:val="24"/>
          <w:szCs w:val="24"/>
        </w:rPr>
        <w:t>Introduction</w:t>
      </w:r>
    </w:p>
    <w:p w:rsidR="00EB19C1" w:rsidRDefault="00EB19C1">
      <w:pPr>
        <w:spacing w:line="191" w:lineRule="exact"/>
        <w:rPr>
          <w:sz w:val="24"/>
          <w:szCs w:val="24"/>
        </w:rPr>
      </w:pPr>
    </w:p>
    <w:p w:rsidR="00EB19C1" w:rsidRDefault="00781E56">
      <w:pPr>
        <w:spacing w:line="335" w:lineRule="auto"/>
        <w:jc w:val="both"/>
        <w:rPr>
          <w:sz w:val="20"/>
          <w:szCs w:val="20"/>
        </w:rPr>
      </w:pPr>
      <w:r>
        <w:rPr>
          <w:rFonts w:ascii="Calibri" w:eastAsia="Calibri" w:hAnsi="Calibri" w:cs="Calibri"/>
          <w:sz w:val="20"/>
          <w:szCs w:val="20"/>
        </w:rPr>
        <w:t xml:space="preserve">Angiolymphoid Hyperplasia with Eosinophilia (ALHE) is a rare clinical entity </w:t>
      </w:r>
      <w:r>
        <w:rPr>
          <w:rFonts w:ascii="Calibri" w:eastAsia="Calibri" w:hAnsi="Calibri" w:cs="Calibri"/>
          <w:sz w:val="20"/>
          <w:szCs w:val="20"/>
        </w:rPr>
        <w:t>characterised by the presence of a variable number of papules, plaques or nodules of the dermis and</w:t>
      </w:r>
    </w:p>
    <w:p w:rsidR="00EB19C1" w:rsidRDefault="00781E56">
      <w:pPr>
        <w:spacing w:line="20" w:lineRule="exact"/>
        <w:rPr>
          <w:sz w:val="24"/>
          <w:szCs w:val="24"/>
        </w:rPr>
      </w:pPr>
      <w:r>
        <w:rPr>
          <w:sz w:val="24"/>
          <w:szCs w:val="24"/>
        </w:rPr>
        <w:br w:type="column"/>
      </w:r>
    </w:p>
    <w:p w:rsidR="00EB19C1" w:rsidRDefault="00EB19C1">
      <w:pPr>
        <w:spacing w:line="200" w:lineRule="exact"/>
        <w:rPr>
          <w:sz w:val="24"/>
          <w:szCs w:val="24"/>
        </w:rPr>
      </w:pPr>
    </w:p>
    <w:p w:rsidR="00EB19C1" w:rsidRDefault="00EB19C1">
      <w:pPr>
        <w:spacing w:line="309" w:lineRule="exact"/>
        <w:rPr>
          <w:sz w:val="24"/>
          <w:szCs w:val="24"/>
        </w:rPr>
      </w:pPr>
    </w:p>
    <w:p w:rsidR="00EB19C1" w:rsidRDefault="00781E56">
      <w:pPr>
        <w:spacing w:line="345" w:lineRule="auto"/>
        <w:ind w:left="9"/>
        <w:rPr>
          <w:sz w:val="20"/>
          <w:szCs w:val="20"/>
        </w:rPr>
      </w:pPr>
      <w:r>
        <w:rPr>
          <w:rFonts w:ascii="Calibri" w:eastAsia="Calibri" w:hAnsi="Calibri" w:cs="Calibri"/>
          <w:sz w:val="20"/>
          <w:szCs w:val="20"/>
        </w:rPr>
        <w:t>subcutaneous tissues.</w:t>
      </w:r>
      <w:r>
        <w:rPr>
          <w:rFonts w:ascii="Calibri" w:eastAsia="Calibri" w:hAnsi="Calibri" w:cs="Calibri"/>
          <w:sz w:val="25"/>
          <w:szCs w:val="25"/>
          <w:vertAlign w:val="superscript"/>
        </w:rPr>
        <w:t>2</w:t>
      </w:r>
      <w:r>
        <w:rPr>
          <w:rFonts w:ascii="Calibri" w:eastAsia="Calibri" w:hAnsi="Calibri" w:cs="Calibri"/>
          <w:sz w:val="20"/>
          <w:szCs w:val="20"/>
        </w:rPr>
        <w:t xml:space="preserve"> ALHE shows a predilection for the head and neck area, affecting muscular arteries.</w:t>
      </w:r>
      <w:r>
        <w:rPr>
          <w:rFonts w:ascii="Calibri" w:eastAsia="Calibri" w:hAnsi="Calibri" w:cs="Calibri"/>
          <w:sz w:val="25"/>
          <w:szCs w:val="25"/>
          <w:vertAlign w:val="superscript"/>
        </w:rPr>
        <w:t>1</w:t>
      </w:r>
      <w:r>
        <w:rPr>
          <w:rFonts w:ascii="Calibri" w:eastAsia="Calibri" w:hAnsi="Calibri" w:cs="Calibri"/>
          <w:sz w:val="20"/>
          <w:szCs w:val="20"/>
        </w:rPr>
        <w:t xml:space="preserve"> Orbital involvement is unusual. The aetiology</w:t>
      </w:r>
      <w:r>
        <w:rPr>
          <w:rFonts w:ascii="Calibri" w:eastAsia="Calibri" w:hAnsi="Calibri" w:cs="Calibri"/>
          <w:sz w:val="20"/>
          <w:szCs w:val="20"/>
        </w:rPr>
        <w:t xml:space="preserve"> of ALHE is obscure, however it has been reported to occur in pregnancy and also following trauma in some cases. Literature favours an underlying reactive process, and describes a tendency for recurrence and neoplastic transformation, thus, ALHE is frequen</w:t>
      </w:r>
      <w:r>
        <w:rPr>
          <w:rFonts w:ascii="Calibri" w:eastAsia="Calibri" w:hAnsi="Calibri" w:cs="Calibri"/>
          <w:sz w:val="20"/>
          <w:szCs w:val="20"/>
        </w:rPr>
        <w:t>tly confused with a malignant tumour until biopsy is done. ALHE also shares both clinical and histopathological features with Kimura disease, and although they were once considered different stages of the same disease, they are now known to represent separ</w:t>
      </w:r>
      <w:r>
        <w:rPr>
          <w:rFonts w:ascii="Calibri" w:eastAsia="Calibri" w:hAnsi="Calibri" w:cs="Calibri"/>
          <w:sz w:val="20"/>
          <w:szCs w:val="20"/>
        </w:rPr>
        <w:t>ate entities. In contrast to Kimura disease which develops mainly in patients from Asia, ALHE has no racial predilection and is typically seen in westerners.</w:t>
      </w:r>
      <w:r>
        <w:rPr>
          <w:rFonts w:ascii="Calibri" w:eastAsia="Calibri" w:hAnsi="Calibri" w:cs="Calibri"/>
          <w:sz w:val="25"/>
          <w:szCs w:val="25"/>
          <w:vertAlign w:val="superscript"/>
        </w:rPr>
        <w:t>2</w:t>
      </w:r>
      <w:r>
        <w:rPr>
          <w:rFonts w:ascii="Calibri" w:eastAsia="Calibri" w:hAnsi="Calibri" w:cs="Calibri"/>
          <w:sz w:val="20"/>
          <w:szCs w:val="20"/>
        </w:rPr>
        <w:t xml:space="preserve"> There is a slight female predominance in the third to fifth decade of life. We hereby report an I</w:t>
      </w:r>
      <w:r>
        <w:rPr>
          <w:rFonts w:ascii="Calibri" w:eastAsia="Calibri" w:hAnsi="Calibri" w:cs="Calibri"/>
          <w:sz w:val="20"/>
          <w:szCs w:val="20"/>
        </w:rPr>
        <w:t>ndian patient with orbital ALHE. To the best of our knowledge, this is the first case report of this type from India.</w:t>
      </w:r>
    </w:p>
    <w:p w:rsidR="00EB19C1" w:rsidRDefault="00EB19C1">
      <w:pPr>
        <w:spacing w:line="28" w:lineRule="exact"/>
        <w:rPr>
          <w:sz w:val="24"/>
          <w:szCs w:val="24"/>
        </w:rPr>
      </w:pPr>
    </w:p>
    <w:p w:rsidR="00EB19C1" w:rsidRDefault="00781E56">
      <w:pPr>
        <w:ind w:left="9"/>
        <w:rPr>
          <w:sz w:val="20"/>
          <w:szCs w:val="20"/>
        </w:rPr>
      </w:pPr>
      <w:r>
        <w:rPr>
          <w:rFonts w:ascii="Calibri" w:eastAsia="Calibri" w:hAnsi="Calibri" w:cs="Calibri"/>
          <w:color w:val="C00000"/>
          <w:sz w:val="24"/>
          <w:szCs w:val="24"/>
        </w:rPr>
        <w:t>Background</w:t>
      </w:r>
    </w:p>
    <w:p w:rsidR="00EB19C1" w:rsidRDefault="00EB19C1">
      <w:pPr>
        <w:spacing w:line="194" w:lineRule="exact"/>
        <w:rPr>
          <w:sz w:val="24"/>
          <w:szCs w:val="24"/>
        </w:rPr>
      </w:pPr>
    </w:p>
    <w:p w:rsidR="00EB19C1" w:rsidRDefault="00781E56">
      <w:pPr>
        <w:numPr>
          <w:ilvl w:val="0"/>
          <w:numId w:val="3"/>
        </w:numPr>
        <w:tabs>
          <w:tab w:val="left" w:pos="189"/>
        </w:tabs>
        <w:spacing w:line="355" w:lineRule="auto"/>
        <w:ind w:left="9" w:hanging="9"/>
        <w:jc w:val="both"/>
        <w:rPr>
          <w:rFonts w:ascii="Calibri" w:eastAsia="Calibri" w:hAnsi="Calibri" w:cs="Calibri"/>
          <w:sz w:val="20"/>
          <w:szCs w:val="20"/>
        </w:rPr>
      </w:pPr>
      <w:r>
        <w:rPr>
          <w:rFonts w:ascii="Calibri" w:eastAsia="Calibri" w:hAnsi="Calibri" w:cs="Calibri"/>
          <w:sz w:val="20"/>
          <w:szCs w:val="20"/>
        </w:rPr>
        <w:t xml:space="preserve">twenty-five year old Asian housewife presented with a one year history of a slowly progressive swelling at the upper lid of </w:t>
      </w:r>
      <w:r>
        <w:rPr>
          <w:rFonts w:ascii="Calibri" w:eastAsia="Calibri" w:hAnsi="Calibri" w:cs="Calibri"/>
          <w:sz w:val="20"/>
          <w:szCs w:val="20"/>
        </w:rPr>
        <w:t xml:space="preserve">left eye. On examination, a painless swelling was noted which followed the contour of the superomedial aspect of the left orbital margin. It measured 3x3cm and was round to oval in shape. A few violaceous, darkbrown papules were found on the forehead over </w:t>
      </w:r>
      <w:r>
        <w:rPr>
          <w:rFonts w:ascii="Calibri" w:eastAsia="Calibri" w:hAnsi="Calibri" w:cs="Calibri"/>
          <w:sz w:val="20"/>
          <w:szCs w:val="20"/>
        </w:rPr>
        <w:t>the swollen region (see figure 1). Lid position and extraocular movements were normal, with examination of anterior and posterior segment of both eyes revealing no abnormality. Both eyes had visual acuity 20/20 with intraocular pressure 17.3mm of Hg.</w:t>
      </w:r>
    </w:p>
    <w:p w:rsidR="00EB19C1" w:rsidRDefault="00EB19C1">
      <w:pPr>
        <w:spacing w:line="465" w:lineRule="exact"/>
        <w:rPr>
          <w:sz w:val="24"/>
          <w:szCs w:val="24"/>
        </w:rPr>
      </w:pPr>
    </w:p>
    <w:p w:rsidR="00EB19C1" w:rsidRDefault="00EB19C1">
      <w:pPr>
        <w:sectPr w:rsidR="00EB19C1">
          <w:type w:val="continuous"/>
          <w:pgSz w:w="11900" w:h="16841"/>
          <w:pgMar w:top="645" w:right="839" w:bottom="0" w:left="840" w:header="0" w:footer="0" w:gutter="0"/>
          <w:cols w:num="2" w:space="720" w:equalWidth="0">
            <w:col w:w="5100" w:space="371"/>
            <w:col w:w="4749"/>
          </w:cols>
        </w:sectPr>
      </w:pPr>
    </w:p>
    <w:p w:rsidR="00EB19C1" w:rsidRDefault="00EB19C1">
      <w:pPr>
        <w:spacing w:line="200" w:lineRule="exact"/>
        <w:rPr>
          <w:sz w:val="24"/>
          <w:szCs w:val="24"/>
        </w:rPr>
      </w:pPr>
    </w:p>
    <w:p w:rsidR="00EB19C1" w:rsidRDefault="00EB19C1">
      <w:pPr>
        <w:spacing w:line="200" w:lineRule="exact"/>
        <w:rPr>
          <w:sz w:val="24"/>
          <w:szCs w:val="24"/>
        </w:rPr>
      </w:pPr>
    </w:p>
    <w:p w:rsidR="00EB19C1" w:rsidRDefault="00EB19C1">
      <w:pPr>
        <w:spacing w:line="318" w:lineRule="exact"/>
        <w:rPr>
          <w:sz w:val="24"/>
          <w:szCs w:val="24"/>
        </w:rPr>
      </w:pPr>
    </w:p>
    <w:p w:rsidR="00EB19C1" w:rsidRPr="00781E56" w:rsidRDefault="00EB19C1" w:rsidP="00781E56">
      <w:pPr>
        <w:ind w:left="9860"/>
        <w:rPr>
          <w:sz w:val="20"/>
          <w:szCs w:val="20"/>
        </w:rPr>
        <w:sectPr w:rsidR="00EB19C1" w:rsidRPr="00781E56">
          <w:type w:val="continuous"/>
          <w:pgSz w:w="11900" w:h="16841"/>
          <w:pgMar w:top="645" w:right="839" w:bottom="0" w:left="840" w:header="0" w:footer="0" w:gutter="0"/>
          <w:cols w:space="720" w:equalWidth="0">
            <w:col w:w="10220"/>
          </w:cols>
        </w:sectPr>
      </w:pPr>
    </w:p>
    <w:p w:rsidR="00EB19C1" w:rsidRDefault="00EB19C1">
      <w:pPr>
        <w:spacing w:line="348" w:lineRule="exact"/>
        <w:rPr>
          <w:sz w:val="20"/>
          <w:szCs w:val="20"/>
        </w:rPr>
      </w:pPr>
      <w:bookmarkStart w:id="0" w:name="page2"/>
      <w:bookmarkEnd w:id="0"/>
    </w:p>
    <w:p w:rsidR="00EB19C1" w:rsidRDefault="00781E56">
      <w:pPr>
        <w:spacing w:line="315" w:lineRule="auto"/>
        <w:jc w:val="both"/>
        <w:rPr>
          <w:sz w:val="20"/>
          <w:szCs w:val="20"/>
        </w:rPr>
      </w:pPr>
      <w:r>
        <w:rPr>
          <w:rFonts w:ascii="Calibri" w:eastAsia="Calibri" w:hAnsi="Calibri" w:cs="Calibri"/>
          <w:sz w:val="20"/>
          <w:szCs w:val="20"/>
        </w:rPr>
        <w:t>Figure 1: Supraorbital ALHE with violaceous papules on forehead</w:t>
      </w:r>
    </w:p>
    <w:p w:rsidR="00EB19C1" w:rsidRDefault="00781E56">
      <w:pPr>
        <w:spacing w:line="20" w:lineRule="exact"/>
        <w:rPr>
          <w:sz w:val="20"/>
          <w:szCs w:val="20"/>
        </w:rPr>
      </w:pPr>
      <w:r>
        <w:rPr>
          <w:noProof/>
          <w:sz w:val="20"/>
          <w:szCs w:val="20"/>
        </w:rPr>
        <w:drawing>
          <wp:anchor distT="0" distB="0" distL="114300" distR="114300" simplePos="0" relativeHeight="251654144" behindDoc="1" locked="0" layoutInCell="0" allowOverlap="1">
            <wp:simplePos x="0" y="0"/>
            <wp:positionH relativeFrom="column">
              <wp:posOffset>13970</wp:posOffset>
            </wp:positionH>
            <wp:positionV relativeFrom="paragraph">
              <wp:posOffset>40640</wp:posOffset>
            </wp:positionV>
            <wp:extent cx="2996565" cy="202247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extLst>
                    </a:blip>
                    <a:srcRect/>
                    <a:stretch>
                      <a:fillRect/>
                    </a:stretch>
                  </pic:blipFill>
                  <pic:spPr bwMode="auto">
                    <a:xfrm>
                      <a:off x="0" y="0"/>
                      <a:ext cx="2996565" cy="2022475"/>
                    </a:xfrm>
                    <a:prstGeom prst="rect">
                      <a:avLst/>
                    </a:prstGeom>
                    <a:noFill/>
                  </pic:spPr>
                </pic:pic>
              </a:graphicData>
            </a:graphic>
          </wp:anchor>
        </w:drawing>
      </w: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384" w:lineRule="exact"/>
        <w:rPr>
          <w:sz w:val="20"/>
          <w:szCs w:val="20"/>
        </w:rPr>
      </w:pPr>
    </w:p>
    <w:p w:rsidR="00EB19C1" w:rsidRDefault="00781E56">
      <w:pPr>
        <w:spacing w:line="336" w:lineRule="auto"/>
        <w:jc w:val="both"/>
        <w:rPr>
          <w:sz w:val="20"/>
          <w:szCs w:val="20"/>
        </w:rPr>
      </w:pPr>
      <w:r>
        <w:rPr>
          <w:rFonts w:ascii="Calibri" w:eastAsia="Calibri" w:hAnsi="Calibri" w:cs="Calibri"/>
          <w:sz w:val="20"/>
          <w:szCs w:val="20"/>
        </w:rPr>
        <w:t xml:space="preserve">A full blood count was normal except for a mild </w:t>
      </w:r>
      <w:r>
        <w:rPr>
          <w:rFonts w:ascii="Calibri" w:eastAsia="Calibri" w:hAnsi="Calibri" w:cs="Calibri"/>
          <w:sz w:val="20"/>
          <w:szCs w:val="20"/>
        </w:rPr>
        <w:t>eosinophilia (7%). A CT scan of the head, orbit and paranasal sinuses was performed (see figure 2).</w:t>
      </w:r>
    </w:p>
    <w:p w:rsidR="00EB19C1" w:rsidRDefault="00EB19C1">
      <w:pPr>
        <w:spacing w:line="74" w:lineRule="exact"/>
        <w:rPr>
          <w:sz w:val="20"/>
          <w:szCs w:val="20"/>
        </w:rPr>
      </w:pPr>
    </w:p>
    <w:p w:rsidR="00EB19C1" w:rsidRDefault="00781E56">
      <w:pPr>
        <w:spacing w:line="315" w:lineRule="auto"/>
        <w:jc w:val="both"/>
        <w:rPr>
          <w:sz w:val="20"/>
          <w:szCs w:val="20"/>
        </w:rPr>
      </w:pPr>
      <w:r>
        <w:rPr>
          <w:rFonts w:ascii="Calibri" w:eastAsia="Calibri" w:hAnsi="Calibri" w:cs="Calibri"/>
          <w:sz w:val="20"/>
          <w:szCs w:val="20"/>
        </w:rPr>
        <w:t>Figure 2: CT scan showing Superomedial orbital extension of supraorbital ALHE</w:t>
      </w:r>
    </w:p>
    <w:p w:rsidR="00EB19C1" w:rsidRDefault="00781E56">
      <w:pPr>
        <w:spacing w:line="20" w:lineRule="exact"/>
        <w:rPr>
          <w:sz w:val="20"/>
          <w:szCs w:val="20"/>
        </w:rPr>
      </w:pPr>
      <w:r>
        <w:rPr>
          <w:noProof/>
          <w:sz w:val="20"/>
          <w:szCs w:val="20"/>
        </w:rPr>
        <w:drawing>
          <wp:anchor distT="0" distB="0" distL="114300" distR="114300" simplePos="0" relativeHeight="251655168" behindDoc="1" locked="0" layoutInCell="0" allowOverlap="1">
            <wp:simplePos x="0" y="0"/>
            <wp:positionH relativeFrom="column">
              <wp:posOffset>13970</wp:posOffset>
            </wp:positionH>
            <wp:positionV relativeFrom="paragraph">
              <wp:posOffset>38735</wp:posOffset>
            </wp:positionV>
            <wp:extent cx="3001010" cy="198564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extLst>
                    </a:blip>
                    <a:srcRect/>
                    <a:stretch>
                      <a:fillRect/>
                    </a:stretch>
                  </pic:blipFill>
                  <pic:spPr bwMode="auto">
                    <a:xfrm>
                      <a:off x="0" y="0"/>
                      <a:ext cx="3001010" cy="1985645"/>
                    </a:xfrm>
                    <a:prstGeom prst="rect">
                      <a:avLst/>
                    </a:prstGeom>
                    <a:noFill/>
                  </pic:spPr>
                </pic:pic>
              </a:graphicData>
            </a:graphic>
          </wp:anchor>
        </w:drawing>
      </w: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314" w:lineRule="exact"/>
        <w:rPr>
          <w:sz w:val="20"/>
          <w:szCs w:val="20"/>
        </w:rPr>
      </w:pPr>
    </w:p>
    <w:p w:rsidR="00EB19C1" w:rsidRDefault="00781E56">
      <w:pPr>
        <w:spacing w:line="353" w:lineRule="auto"/>
        <w:ind w:left="20"/>
        <w:jc w:val="both"/>
        <w:rPr>
          <w:sz w:val="20"/>
          <w:szCs w:val="20"/>
        </w:rPr>
      </w:pPr>
      <w:r>
        <w:rPr>
          <w:rFonts w:ascii="Calibri" w:eastAsia="Calibri" w:hAnsi="Calibri" w:cs="Calibri"/>
          <w:sz w:val="20"/>
          <w:szCs w:val="20"/>
        </w:rPr>
        <w:t xml:space="preserve">Contiguous 3mm coronal/ axial sections were taken, which </w:t>
      </w:r>
      <w:r>
        <w:rPr>
          <w:rFonts w:ascii="Calibri" w:eastAsia="Calibri" w:hAnsi="Calibri" w:cs="Calibri"/>
          <w:sz w:val="20"/>
          <w:szCs w:val="20"/>
        </w:rPr>
        <w:t>showed a well defined soft tissue density lesion measuring 2 x 1.2 cm with CT attenuation value of 45-80 HU. The lesion was extraocular, preseptal and anteromedial to the medial rectus muscle and anterolateral to nasal bone. The lesion appeared to cause co</w:t>
      </w:r>
      <w:r>
        <w:rPr>
          <w:rFonts w:ascii="Calibri" w:eastAsia="Calibri" w:hAnsi="Calibri" w:cs="Calibri"/>
          <w:sz w:val="20"/>
          <w:szCs w:val="20"/>
        </w:rPr>
        <w:t>ntour bulge along the superomedial margin of the orbit. The nasal septum was central and the paranasal sinuses were normal.</w:t>
      </w:r>
    </w:p>
    <w:p w:rsidR="00EB19C1" w:rsidRDefault="00EB19C1">
      <w:pPr>
        <w:spacing w:line="58" w:lineRule="exact"/>
        <w:rPr>
          <w:sz w:val="20"/>
          <w:szCs w:val="20"/>
        </w:rPr>
      </w:pPr>
    </w:p>
    <w:p w:rsidR="00EB19C1" w:rsidRDefault="00781E56">
      <w:pPr>
        <w:spacing w:line="348" w:lineRule="auto"/>
        <w:ind w:left="20"/>
        <w:jc w:val="both"/>
        <w:rPr>
          <w:sz w:val="20"/>
          <w:szCs w:val="20"/>
        </w:rPr>
      </w:pPr>
      <w:r>
        <w:rPr>
          <w:rFonts w:ascii="Calibri" w:eastAsia="Calibri" w:hAnsi="Calibri" w:cs="Calibri"/>
          <w:sz w:val="20"/>
          <w:szCs w:val="20"/>
        </w:rPr>
        <w:t>Surgery was performed to remove the mass. A 3cm incision was taken superomedially near the orbital margin, the mass was identified,</w:t>
      </w:r>
      <w:r>
        <w:rPr>
          <w:rFonts w:ascii="Calibri" w:eastAsia="Calibri" w:hAnsi="Calibri" w:cs="Calibri"/>
          <w:sz w:val="20"/>
          <w:szCs w:val="20"/>
        </w:rPr>
        <w:t xml:space="preserve"> and the fibrovascular attachments were dissected. A irregular, greyishblack soft tissue mass measuring 2x2 cm was then excised.</w:t>
      </w:r>
    </w:p>
    <w:p w:rsidR="00EB19C1" w:rsidRDefault="00EB19C1">
      <w:pPr>
        <w:spacing w:line="61" w:lineRule="exact"/>
        <w:rPr>
          <w:sz w:val="20"/>
          <w:szCs w:val="20"/>
        </w:rPr>
      </w:pPr>
    </w:p>
    <w:p w:rsidR="00EB19C1" w:rsidRDefault="00781E56">
      <w:pPr>
        <w:spacing w:line="312" w:lineRule="auto"/>
        <w:ind w:left="20"/>
        <w:jc w:val="both"/>
        <w:rPr>
          <w:sz w:val="20"/>
          <w:szCs w:val="20"/>
        </w:rPr>
      </w:pPr>
      <w:r>
        <w:rPr>
          <w:rFonts w:ascii="Calibri" w:eastAsia="Calibri" w:hAnsi="Calibri" w:cs="Calibri"/>
          <w:sz w:val="20"/>
          <w:szCs w:val="20"/>
        </w:rPr>
        <w:t>Histological analysis showed aggregates of lymphocytes forming lymphoid follicles surrounded by fibrofatty tissues</w:t>
      </w:r>
    </w:p>
    <w:p w:rsidR="00EB19C1" w:rsidRDefault="00781E56">
      <w:pPr>
        <w:spacing w:line="20" w:lineRule="exact"/>
        <w:rPr>
          <w:sz w:val="20"/>
          <w:szCs w:val="20"/>
        </w:rPr>
      </w:pPr>
      <w:r>
        <w:rPr>
          <w:sz w:val="20"/>
          <w:szCs w:val="20"/>
        </w:rPr>
        <w:br w:type="column"/>
      </w:r>
    </w:p>
    <w:p w:rsidR="00EB19C1" w:rsidRDefault="00EB19C1">
      <w:pPr>
        <w:spacing w:line="200" w:lineRule="exact"/>
        <w:rPr>
          <w:sz w:val="20"/>
          <w:szCs w:val="20"/>
        </w:rPr>
      </w:pPr>
    </w:p>
    <w:p w:rsidR="00EB19C1" w:rsidRDefault="00EB19C1">
      <w:pPr>
        <w:spacing w:line="339" w:lineRule="exact"/>
        <w:rPr>
          <w:sz w:val="20"/>
          <w:szCs w:val="20"/>
        </w:rPr>
      </w:pPr>
    </w:p>
    <w:p w:rsidR="00EB19C1" w:rsidRDefault="00781E56">
      <w:pPr>
        <w:spacing w:line="348" w:lineRule="auto"/>
        <w:jc w:val="both"/>
        <w:rPr>
          <w:sz w:val="20"/>
          <w:szCs w:val="20"/>
        </w:rPr>
      </w:pPr>
      <w:r>
        <w:rPr>
          <w:rFonts w:ascii="Calibri" w:eastAsia="Calibri" w:hAnsi="Calibri" w:cs="Calibri"/>
          <w:sz w:val="20"/>
          <w:szCs w:val="20"/>
        </w:rPr>
        <w:t xml:space="preserve">(see </w:t>
      </w:r>
      <w:r>
        <w:rPr>
          <w:rFonts w:ascii="Calibri" w:eastAsia="Calibri" w:hAnsi="Calibri" w:cs="Calibri"/>
          <w:sz w:val="20"/>
          <w:szCs w:val="20"/>
        </w:rPr>
        <w:t>figure 3A), nerves and skeletal muscle. Lymphoid follicles showed proliferation of blood vessels lined with plump endothelial cells and vessels in the intervening stroma, with intense infiltration by eosinophils (see figure 3B).</w:t>
      </w:r>
    </w:p>
    <w:p w:rsidR="00EB19C1" w:rsidRDefault="00EB19C1">
      <w:pPr>
        <w:spacing w:line="62" w:lineRule="exact"/>
        <w:rPr>
          <w:sz w:val="20"/>
          <w:szCs w:val="20"/>
        </w:rPr>
      </w:pPr>
    </w:p>
    <w:p w:rsidR="00EB19C1" w:rsidRDefault="00781E56">
      <w:pPr>
        <w:spacing w:line="336" w:lineRule="auto"/>
        <w:jc w:val="both"/>
        <w:rPr>
          <w:sz w:val="20"/>
          <w:szCs w:val="20"/>
        </w:rPr>
      </w:pPr>
      <w:r>
        <w:rPr>
          <w:rFonts w:ascii="Calibri" w:eastAsia="Calibri" w:hAnsi="Calibri" w:cs="Calibri"/>
          <w:sz w:val="20"/>
          <w:szCs w:val="20"/>
        </w:rPr>
        <w:t>Figure 3 A: 10X microscopi</w:t>
      </w:r>
      <w:r>
        <w:rPr>
          <w:rFonts w:ascii="Calibri" w:eastAsia="Calibri" w:hAnsi="Calibri" w:cs="Calibri"/>
          <w:sz w:val="20"/>
          <w:szCs w:val="20"/>
        </w:rPr>
        <w:t>c view, haematoxylin and eosin (H&amp;E) stained section revealing lymphoid follicles surrounded by fibrofatty tissue.</w:t>
      </w:r>
    </w:p>
    <w:p w:rsidR="00EB19C1" w:rsidRDefault="00781E56">
      <w:pPr>
        <w:spacing w:line="20" w:lineRule="exact"/>
        <w:rPr>
          <w:sz w:val="20"/>
          <w:szCs w:val="20"/>
        </w:rPr>
      </w:pPr>
      <w:r>
        <w:rPr>
          <w:noProof/>
          <w:sz w:val="20"/>
          <w:szCs w:val="20"/>
        </w:rPr>
        <w:drawing>
          <wp:anchor distT="0" distB="0" distL="114300" distR="114300" simplePos="0" relativeHeight="251656192" behindDoc="1" locked="0" layoutInCell="0" allowOverlap="1">
            <wp:simplePos x="0" y="0"/>
            <wp:positionH relativeFrom="column">
              <wp:posOffset>1270</wp:posOffset>
            </wp:positionH>
            <wp:positionV relativeFrom="paragraph">
              <wp:posOffset>33020</wp:posOffset>
            </wp:positionV>
            <wp:extent cx="3213100" cy="175450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extLst>
                    </a:blip>
                    <a:srcRect/>
                    <a:stretch>
                      <a:fillRect/>
                    </a:stretch>
                  </pic:blipFill>
                  <pic:spPr bwMode="auto">
                    <a:xfrm>
                      <a:off x="0" y="0"/>
                      <a:ext cx="3213100" cy="1754505"/>
                    </a:xfrm>
                    <a:prstGeom prst="rect">
                      <a:avLst/>
                    </a:prstGeom>
                    <a:noFill/>
                  </pic:spPr>
                </pic:pic>
              </a:graphicData>
            </a:graphic>
          </wp:anchor>
        </w:drawing>
      </w: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330" w:lineRule="exact"/>
        <w:rPr>
          <w:sz w:val="20"/>
          <w:szCs w:val="20"/>
        </w:rPr>
      </w:pPr>
    </w:p>
    <w:p w:rsidR="00EB19C1" w:rsidRDefault="00781E56">
      <w:pPr>
        <w:spacing w:line="338" w:lineRule="auto"/>
        <w:jc w:val="both"/>
        <w:rPr>
          <w:sz w:val="20"/>
          <w:szCs w:val="20"/>
        </w:rPr>
      </w:pPr>
      <w:r>
        <w:rPr>
          <w:rFonts w:ascii="Calibri" w:eastAsia="Calibri" w:hAnsi="Calibri" w:cs="Calibri"/>
          <w:sz w:val="20"/>
          <w:szCs w:val="20"/>
        </w:rPr>
        <w:t xml:space="preserve">Figure 3 B: 40X microscopic view, H &amp; E stained section showing blood vessels lined with plump endothelial cells and </w:t>
      </w:r>
      <w:r>
        <w:rPr>
          <w:rFonts w:ascii="Calibri" w:eastAsia="Calibri" w:hAnsi="Calibri" w:cs="Calibri"/>
          <w:sz w:val="20"/>
          <w:szCs w:val="20"/>
        </w:rPr>
        <w:t>infiltration by eosinophils.</w:t>
      </w:r>
    </w:p>
    <w:p w:rsidR="00EB19C1" w:rsidRDefault="00781E56">
      <w:pPr>
        <w:spacing w:line="20" w:lineRule="exact"/>
        <w:rPr>
          <w:sz w:val="20"/>
          <w:szCs w:val="20"/>
        </w:rPr>
      </w:pPr>
      <w:r>
        <w:rPr>
          <w:noProof/>
          <w:sz w:val="20"/>
          <w:szCs w:val="20"/>
        </w:rPr>
        <w:drawing>
          <wp:anchor distT="0" distB="0" distL="114300" distR="114300" simplePos="0" relativeHeight="251657216" behindDoc="1" locked="0" layoutInCell="0" allowOverlap="1">
            <wp:simplePos x="0" y="0"/>
            <wp:positionH relativeFrom="column">
              <wp:posOffset>0</wp:posOffset>
            </wp:positionH>
            <wp:positionV relativeFrom="paragraph">
              <wp:posOffset>29210</wp:posOffset>
            </wp:positionV>
            <wp:extent cx="3212465" cy="178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extLst>
                    </a:blip>
                    <a:srcRect/>
                    <a:stretch>
                      <a:fillRect/>
                    </a:stretch>
                  </pic:blipFill>
                  <pic:spPr bwMode="auto">
                    <a:xfrm>
                      <a:off x="0" y="0"/>
                      <a:ext cx="3212465" cy="1784985"/>
                    </a:xfrm>
                    <a:prstGeom prst="rect">
                      <a:avLst/>
                    </a:prstGeom>
                    <a:noFill/>
                  </pic:spPr>
                </pic:pic>
              </a:graphicData>
            </a:graphic>
          </wp:anchor>
        </w:drawing>
      </w: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374" w:lineRule="exact"/>
        <w:rPr>
          <w:sz w:val="20"/>
          <w:szCs w:val="20"/>
        </w:rPr>
      </w:pPr>
    </w:p>
    <w:p w:rsidR="00EB19C1" w:rsidRDefault="00781E56">
      <w:pPr>
        <w:spacing w:line="348" w:lineRule="auto"/>
        <w:jc w:val="both"/>
        <w:rPr>
          <w:sz w:val="20"/>
          <w:szCs w:val="20"/>
        </w:rPr>
      </w:pPr>
      <w:r>
        <w:rPr>
          <w:rFonts w:ascii="Calibri" w:eastAsia="Calibri" w:hAnsi="Calibri" w:cs="Calibri"/>
          <w:sz w:val="20"/>
          <w:szCs w:val="20"/>
        </w:rPr>
        <w:t xml:space="preserve">On the basis of the clinical features, and the supportive radiological and histopathological findings, the diagnosis of supraorbital ALHE with orbital extension was made. The patient is undergoing regular </w:t>
      </w:r>
      <w:r>
        <w:rPr>
          <w:rFonts w:ascii="Calibri" w:eastAsia="Calibri" w:hAnsi="Calibri" w:cs="Calibri"/>
          <w:sz w:val="20"/>
          <w:szCs w:val="20"/>
        </w:rPr>
        <w:t>follow-up and there has been no evidence of recurrence of the condition.</w:t>
      </w:r>
    </w:p>
    <w:p w:rsidR="00EB19C1" w:rsidRDefault="00EB19C1">
      <w:pPr>
        <w:spacing w:line="19" w:lineRule="exact"/>
        <w:rPr>
          <w:sz w:val="20"/>
          <w:szCs w:val="20"/>
        </w:rPr>
      </w:pPr>
    </w:p>
    <w:p w:rsidR="00EB19C1" w:rsidRDefault="00781E56">
      <w:pPr>
        <w:rPr>
          <w:sz w:val="20"/>
          <w:szCs w:val="20"/>
        </w:rPr>
      </w:pPr>
      <w:r>
        <w:rPr>
          <w:rFonts w:ascii="Calibri" w:eastAsia="Calibri" w:hAnsi="Calibri" w:cs="Calibri"/>
          <w:color w:val="C00000"/>
          <w:sz w:val="24"/>
          <w:szCs w:val="24"/>
        </w:rPr>
        <w:t>Discussion</w:t>
      </w:r>
    </w:p>
    <w:p w:rsidR="00EB19C1" w:rsidRDefault="00EB19C1">
      <w:pPr>
        <w:spacing w:line="189" w:lineRule="exact"/>
        <w:rPr>
          <w:sz w:val="20"/>
          <w:szCs w:val="20"/>
        </w:rPr>
      </w:pPr>
    </w:p>
    <w:p w:rsidR="00EB19C1" w:rsidRDefault="00781E56">
      <w:pPr>
        <w:spacing w:line="332" w:lineRule="auto"/>
        <w:jc w:val="both"/>
        <w:rPr>
          <w:sz w:val="20"/>
          <w:szCs w:val="20"/>
        </w:rPr>
      </w:pPr>
      <w:r>
        <w:rPr>
          <w:rFonts w:ascii="Calibri" w:eastAsia="Calibri" w:hAnsi="Calibri" w:cs="Calibri"/>
          <w:sz w:val="20"/>
          <w:szCs w:val="20"/>
        </w:rPr>
        <w:t>Wells and Whimster were the first to describe ALHE in 1969.</w:t>
      </w:r>
      <w:r>
        <w:rPr>
          <w:rFonts w:ascii="Calibri" w:eastAsia="Calibri" w:hAnsi="Calibri" w:cs="Calibri"/>
          <w:sz w:val="25"/>
          <w:szCs w:val="25"/>
          <w:vertAlign w:val="superscript"/>
        </w:rPr>
        <w:t>5</w:t>
      </w:r>
      <w:r>
        <w:rPr>
          <w:rFonts w:ascii="Calibri" w:eastAsia="Calibri" w:hAnsi="Calibri" w:cs="Calibri"/>
          <w:sz w:val="20"/>
          <w:szCs w:val="20"/>
        </w:rPr>
        <w:t xml:space="preserve"> It has been reported from many parts of the world and can occur in all races. This condition is characterised</w:t>
      </w:r>
      <w:r>
        <w:rPr>
          <w:rFonts w:ascii="Calibri" w:eastAsia="Calibri" w:hAnsi="Calibri" w:cs="Calibri"/>
          <w:sz w:val="20"/>
          <w:szCs w:val="20"/>
        </w:rPr>
        <w:t xml:space="preserve"> by abnormal proliferation of endothelial cells with infiltrates of lymphocytes and eosinophils, as demonstrated by this case. ALHE is also known as</w:t>
      </w:r>
    </w:p>
    <w:p w:rsidR="00EB19C1" w:rsidRDefault="00EB19C1">
      <w:pPr>
        <w:spacing w:line="502" w:lineRule="exact"/>
        <w:rPr>
          <w:sz w:val="20"/>
          <w:szCs w:val="20"/>
        </w:rPr>
      </w:pPr>
    </w:p>
    <w:p w:rsidR="00EB19C1" w:rsidRDefault="00EB19C1">
      <w:pPr>
        <w:sectPr w:rsidR="00EB19C1">
          <w:pgSz w:w="11900" w:h="16841"/>
          <w:pgMar w:top="645" w:right="839" w:bottom="0" w:left="840" w:header="0" w:footer="0" w:gutter="0"/>
          <w:cols w:num="2" w:space="720" w:equalWidth="0">
            <w:col w:w="5100" w:space="380"/>
            <w:col w:w="4740"/>
          </w:cols>
        </w:sectPr>
      </w:pPr>
    </w:p>
    <w:p w:rsidR="00EB19C1" w:rsidRDefault="00EB19C1">
      <w:pPr>
        <w:spacing w:line="400" w:lineRule="exact"/>
        <w:rPr>
          <w:sz w:val="20"/>
          <w:szCs w:val="20"/>
        </w:rPr>
      </w:pPr>
    </w:p>
    <w:p w:rsidR="00EB19C1" w:rsidRDefault="00EB19C1">
      <w:pPr>
        <w:sectPr w:rsidR="00EB19C1">
          <w:type w:val="continuous"/>
          <w:pgSz w:w="11900" w:h="16841"/>
          <w:pgMar w:top="645" w:right="839" w:bottom="0" w:left="840" w:header="0" w:footer="0" w:gutter="0"/>
          <w:cols w:space="720" w:equalWidth="0">
            <w:col w:w="10220"/>
          </w:cols>
        </w:sectPr>
      </w:pPr>
    </w:p>
    <w:p w:rsidR="00EB19C1" w:rsidRDefault="00EB19C1">
      <w:pPr>
        <w:spacing w:line="299" w:lineRule="exact"/>
        <w:rPr>
          <w:sz w:val="20"/>
          <w:szCs w:val="20"/>
        </w:rPr>
      </w:pPr>
      <w:bookmarkStart w:id="1" w:name="page3"/>
      <w:bookmarkEnd w:id="1"/>
    </w:p>
    <w:p w:rsidR="00EB19C1" w:rsidRDefault="00781E56">
      <w:pPr>
        <w:spacing w:line="344" w:lineRule="auto"/>
        <w:rPr>
          <w:sz w:val="20"/>
          <w:szCs w:val="20"/>
        </w:rPr>
      </w:pPr>
      <w:proofErr w:type="gramStart"/>
      <w:r>
        <w:rPr>
          <w:rFonts w:ascii="Calibri" w:eastAsia="Calibri" w:hAnsi="Calibri" w:cs="Calibri"/>
          <w:sz w:val="20"/>
          <w:szCs w:val="20"/>
        </w:rPr>
        <w:t>eosinophilic</w:t>
      </w:r>
      <w:proofErr w:type="gramEnd"/>
      <w:r>
        <w:rPr>
          <w:rFonts w:ascii="Calibri" w:eastAsia="Calibri" w:hAnsi="Calibri" w:cs="Calibri"/>
          <w:sz w:val="20"/>
          <w:szCs w:val="20"/>
        </w:rPr>
        <w:t xml:space="preserve"> lymphofolliculitis or Histiocytoid hemangioma.</w:t>
      </w:r>
      <w:r>
        <w:rPr>
          <w:rFonts w:ascii="Calibri" w:eastAsia="Calibri" w:hAnsi="Calibri" w:cs="Calibri"/>
          <w:sz w:val="25"/>
          <w:szCs w:val="25"/>
          <w:vertAlign w:val="superscript"/>
        </w:rPr>
        <w:t>6, 7</w:t>
      </w:r>
      <w:r>
        <w:rPr>
          <w:rFonts w:ascii="Calibri" w:eastAsia="Calibri" w:hAnsi="Calibri" w:cs="Calibri"/>
          <w:sz w:val="20"/>
          <w:szCs w:val="20"/>
        </w:rPr>
        <w:t xml:space="preserve"> ALHE should be distinguished from a variety of benign and malignant vascular proliferations including pyogenic granuloma, epithelioid hemangioendothelioma and Kaposi’s sarcoma – all o</w:t>
      </w:r>
      <w:r>
        <w:rPr>
          <w:rFonts w:ascii="Calibri" w:eastAsia="Calibri" w:hAnsi="Calibri" w:cs="Calibri"/>
          <w:sz w:val="20"/>
          <w:szCs w:val="20"/>
        </w:rPr>
        <w:t>f which lack a noticeable eosinophil infiltrate. ALHE usually presents as benign nodules with erythematous papules mostly in the head and neck region, however the orbital involvement seen in this case is unusual. Features of orbital involvement may include</w:t>
      </w:r>
      <w:r>
        <w:rPr>
          <w:rFonts w:ascii="Calibri" w:eastAsia="Calibri" w:hAnsi="Calibri" w:cs="Calibri"/>
          <w:sz w:val="20"/>
          <w:szCs w:val="20"/>
        </w:rPr>
        <w:t xml:space="preserve"> proptosis, watering, pruritus around the eyes and blurring of peripheral vision.</w:t>
      </w:r>
      <w:r>
        <w:rPr>
          <w:rFonts w:ascii="Calibri" w:eastAsia="Calibri" w:hAnsi="Calibri" w:cs="Calibri"/>
          <w:sz w:val="25"/>
          <w:szCs w:val="25"/>
          <w:vertAlign w:val="superscript"/>
        </w:rPr>
        <w:t>3</w:t>
      </w:r>
      <w:r>
        <w:rPr>
          <w:rFonts w:ascii="Calibri" w:eastAsia="Calibri" w:hAnsi="Calibri" w:cs="Calibri"/>
          <w:sz w:val="20"/>
          <w:szCs w:val="20"/>
        </w:rPr>
        <w:t xml:space="preserve"> Our patient was successfully treated surgically before she developed any such symptoms.</w:t>
      </w:r>
    </w:p>
    <w:p w:rsidR="00EB19C1" w:rsidRDefault="00EB19C1">
      <w:pPr>
        <w:spacing w:line="72" w:lineRule="exact"/>
        <w:rPr>
          <w:sz w:val="20"/>
          <w:szCs w:val="20"/>
        </w:rPr>
      </w:pPr>
    </w:p>
    <w:p w:rsidR="00EB19C1" w:rsidRDefault="00781E56">
      <w:pPr>
        <w:spacing w:line="315" w:lineRule="auto"/>
        <w:jc w:val="both"/>
        <w:rPr>
          <w:sz w:val="20"/>
          <w:szCs w:val="20"/>
        </w:rPr>
      </w:pPr>
      <w:r>
        <w:rPr>
          <w:rFonts w:ascii="Calibri" w:eastAsia="Calibri" w:hAnsi="Calibri" w:cs="Calibri"/>
          <w:sz w:val="20"/>
          <w:szCs w:val="20"/>
        </w:rPr>
        <w:t>Surgical excision may be beneficial in the case of a solitary small tumour but there</w:t>
      </w:r>
      <w:r>
        <w:rPr>
          <w:rFonts w:ascii="Calibri" w:eastAsia="Calibri" w:hAnsi="Calibri" w:cs="Calibri"/>
          <w:sz w:val="20"/>
          <w:szCs w:val="20"/>
        </w:rPr>
        <w:t xml:space="preserve"> is a risk of recurrence at the surgical site.</w:t>
      </w:r>
      <w:r>
        <w:rPr>
          <w:rFonts w:ascii="Calibri" w:eastAsia="Calibri" w:hAnsi="Calibri" w:cs="Calibri"/>
          <w:sz w:val="25"/>
          <w:szCs w:val="25"/>
          <w:vertAlign w:val="superscript"/>
        </w:rPr>
        <w:t>2</w:t>
      </w:r>
      <w:r>
        <w:rPr>
          <w:rFonts w:ascii="Calibri" w:eastAsia="Calibri" w:hAnsi="Calibri" w:cs="Calibri"/>
          <w:sz w:val="20"/>
          <w:szCs w:val="20"/>
        </w:rPr>
        <w:t xml:space="preserve"> Systemic and intralesional steroid administration, interferon therapy, cryotherapy, laser therapy and topical application of Tacrolimus have been used with success.</w:t>
      </w:r>
      <w:r>
        <w:rPr>
          <w:rFonts w:ascii="Calibri" w:eastAsia="Calibri" w:hAnsi="Calibri" w:cs="Calibri"/>
          <w:sz w:val="25"/>
          <w:szCs w:val="25"/>
          <w:vertAlign w:val="superscript"/>
        </w:rPr>
        <w:t>2</w:t>
      </w:r>
    </w:p>
    <w:p w:rsidR="00EB19C1" w:rsidRDefault="00EB19C1">
      <w:pPr>
        <w:spacing w:line="52" w:lineRule="exact"/>
        <w:rPr>
          <w:sz w:val="20"/>
          <w:szCs w:val="20"/>
        </w:rPr>
      </w:pPr>
    </w:p>
    <w:p w:rsidR="00EB19C1" w:rsidRDefault="00781E56">
      <w:pPr>
        <w:spacing w:line="335" w:lineRule="auto"/>
        <w:jc w:val="both"/>
        <w:rPr>
          <w:sz w:val="20"/>
          <w:szCs w:val="20"/>
        </w:rPr>
      </w:pPr>
      <w:r>
        <w:rPr>
          <w:rFonts w:ascii="Calibri" w:eastAsia="Calibri" w:hAnsi="Calibri" w:cs="Calibri"/>
          <w:sz w:val="20"/>
          <w:szCs w:val="20"/>
        </w:rPr>
        <w:t>In conclusion, ALHE with orbital involvem</w:t>
      </w:r>
      <w:r>
        <w:rPr>
          <w:rFonts w:ascii="Calibri" w:eastAsia="Calibri" w:hAnsi="Calibri" w:cs="Calibri"/>
          <w:sz w:val="20"/>
          <w:szCs w:val="20"/>
        </w:rPr>
        <w:t>ent is a rare clinical entity, and further work is required to accurately describe its incidence, aetiology and presentation.</w:t>
      </w:r>
    </w:p>
    <w:p w:rsidR="00EB19C1" w:rsidRDefault="00EB19C1">
      <w:pPr>
        <w:spacing w:line="20" w:lineRule="exact"/>
        <w:rPr>
          <w:sz w:val="20"/>
          <w:szCs w:val="20"/>
        </w:rPr>
      </w:pPr>
      <w:r>
        <w:rPr>
          <w:sz w:val="20"/>
          <w:szCs w:val="20"/>
        </w:rPr>
        <w:pict>
          <v:line id="Shape 18" o:spid="_x0000_s1043" style="position:absolute;z-index:251665408;visibility:visible;mso-wrap-distance-left:0;mso-wrap-distance-right:0" from="-3.4pt,11.25pt" to="250.75pt,11.25pt" o:allowincell="f" strokeweight="2pt"/>
        </w:pict>
      </w:r>
    </w:p>
    <w:p w:rsidR="00EB19C1" w:rsidRDefault="00EB19C1">
      <w:pPr>
        <w:spacing w:line="228" w:lineRule="exact"/>
        <w:rPr>
          <w:sz w:val="20"/>
          <w:szCs w:val="20"/>
        </w:rPr>
      </w:pPr>
    </w:p>
    <w:p w:rsidR="00EB19C1" w:rsidRDefault="00781E56">
      <w:pPr>
        <w:rPr>
          <w:sz w:val="20"/>
          <w:szCs w:val="20"/>
        </w:rPr>
      </w:pPr>
      <w:r>
        <w:rPr>
          <w:rFonts w:ascii="Calibri" w:eastAsia="Calibri" w:hAnsi="Calibri" w:cs="Calibri"/>
          <w:color w:val="993200"/>
          <w:sz w:val="24"/>
          <w:szCs w:val="24"/>
        </w:rPr>
        <w:t>References</w:t>
      </w:r>
    </w:p>
    <w:p w:rsidR="00EB19C1" w:rsidRDefault="00EB19C1">
      <w:pPr>
        <w:spacing w:line="200" w:lineRule="exact"/>
        <w:rPr>
          <w:sz w:val="20"/>
          <w:szCs w:val="20"/>
        </w:rPr>
      </w:pPr>
    </w:p>
    <w:p w:rsidR="00EB19C1" w:rsidRDefault="00EB19C1">
      <w:pPr>
        <w:spacing w:line="282" w:lineRule="exact"/>
        <w:rPr>
          <w:sz w:val="20"/>
          <w:szCs w:val="20"/>
        </w:rPr>
      </w:pPr>
    </w:p>
    <w:p w:rsidR="00EB19C1" w:rsidRDefault="00781E56">
      <w:pPr>
        <w:numPr>
          <w:ilvl w:val="0"/>
          <w:numId w:val="4"/>
        </w:numPr>
        <w:tabs>
          <w:tab w:val="left" w:pos="720"/>
        </w:tabs>
        <w:spacing w:line="350" w:lineRule="auto"/>
        <w:ind w:left="720" w:hanging="368"/>
        <w:jc w:val="both"/>
        <w:rPr>
          <w:rFonts w:ascii="Calibri" w:eastAsia="Calibri" w:hAnsi="Calibri" w:cs="Calibri"/>
          <w:sz w:val="20"/>
          <w:szCs w:val="20"/>
        </w:rPr>
      </w:pPr>
      <w:r>
        <w:rPr>
          <w:rFonts w:ascii="Calibri" w:eastAsia="Calibri" w:hAnsi="Calibri" w:cs="Calibri"/>
          <w:sz w:val="20"/>
          <w:szCs w:val="20"/>
        </w:rPr>
        <w:t xml:space="preserve">Gonzalez-Cuyar LF, Tavora F, Zhao XF, Wang G, Auerbach A, Aguilera N, et al. Angiolymphoid hyperplasia with </w:t>
      </w:r>
      <w:r>
        <w:rPr>
          <w:rFonts w:ascii="Calibri" w:eastAsia="Calibri" w:hAnsi="Calibri" w:cs="Calibri"/>
          <w:sz w:val="20"/>
          <w:szCs w:val="20"/>
        </w:rPr>
        <w:t>eosinophilia developing in a patient with history of peripheral T-cell lymphoma: evidence for multicentric T-cell lymphoproliferative process. Diagn Pathol,2008,-; 29-;( -3): -22</w:t>
      </w:r>
    </w:p>
    <w:p w:rsidR="00EB19C1" w:rsidRDefault="00EB19C1">
      <w:pPr>
        <w:spacing w:line="67" w:lineRule="exact"/>
        <w:rPr>
          <w:rFonts w:ascii="Calibri" w:eastAsia="Calibri" w:hAnsi="Calibri" w:cs="Calibri"/>
          <w:sz w:val="20"/>
          <w:szCs w:val="20"/>
        </w:rPr>
      </w:pPr>
    </w:p>
    <w:p w:rsidR="00EB19C1" w:rsidRDefault="00781E56">
      <w:pPr>
        <w:numPr>
          <w:ilvl w:val="0"/>
          <w:numId w:val="4"/>
        </w:numPr>
        <w:tabs>
          <w:tab w:val="left" w:pos="720"/>
        </w:tabs>
        <w:spacing w:line="334" w:lineRule="auto"/>
        <w:ind w:left="720" w:right="40" w:hanging="368"/>
        <w:rPr>
          <w:rFonts w:ascii="Calibri" w:eastAsia="Calibri" w:hAnsi="Calibri" w:cs="Calibri"/>
          <w:sz w:val="20"/>
          <w:szCs w:val="20"/>
        </w:rPr>
      </w:pPr>
      <w:r>
        <w:rPr>
          <w:rFonts w:ascii="Calibri" w:eastAsia="Calibri" w:hAnsi="Calibri" w:cs="Calibri"/>
          <w:sz w:val="20"/>
          <w:szCs w:val="20"/>
        </w:rPr>
        <w:t>Wolff K, Goldsmith L, Katz S,Gilchrest B,Paller A, Lafell D. Fitzpatricks te</w:t>
      </w:r>
      <w:r>
        <w:rPr>
          <w:rFonts w:ascii="Calibri" w:eastAsia="Calibri" w:hAnsi="Calibri" w:cs="Calibri"/>
          <w:sz w:val="20"/>
          <w:szCs w:val="20"/>
        </w:rPr>
        <w:t>xtbook of dermatology in general medicine, 2008,-; 7th ed. 313-15.</w:t>
      </w:r>
    </w:p>
    <w:p w:rsidR="00EB19C1" w:rsidRDefault="00EB19C1">
      <w:pPr>
        <w:spacing w:line="75" w:lineRule="exact"/>
        <w:rPr>
          <w:rFonts w:ascii="Calibri" w:eastAsia="Calibri" w:hAnsi="Calibri" w:cs="Calibri"/>
          <w:sz w:val="20"/>
          <w:szCs w:val="20"/>
        </w:rPr>
      </w:pPr>
    </w:p>
    <w:p w:rsidR="00EB19C1" w:rsidRDefault="00781E56">
      <w:pPr>
        <w:numPr>
          <w:ilvl w:val="0"/>
          <w:numId w:val="4"/>
        </w:numPr>
        <w:tabs>
          <w:tab w:val="left" w:pos="720"/>
        </w:tabs>
        <w:spacing w:line="336" w:lineRule="auto"/>
        <w:ind w:left="720" w:hanging="368"/>
        <w:jc w:val="both"/>
        <w:rPr>
          <w:rFonts w:ascii="Calibri" w:eastAsia="Calibri" w:hAnsi="Calibri" w:cs="Calibri"/>
          <w:sz w:val="20"/>
          <w:szCs w:val="20"/>
        </w:rPr>
      </w:pPr>
      <w:r>
        <w:rPr>
          <w:rFonts w:ascii="Calibri" w:eastAsia="Calibri" w:hAnsi="Calibri" w:cs="Calibri"/>
          <w:sz w:val="20"/>
          <w:szCs w:val="20"/>
        </w:rPr>
        <w:t>McEachren TM, Brownstein S, Jordan DR, Montpetit VA, Font RL. Epithelioid hemangioma of the orbit. Ophthalmology. 2000,-; 107(4): 806-10.</w:t>
      </w:r>
    </w:p>
    <w:p w:rsidR="00EB19C1" w:rsidRDefault="00EB19C1">
      <w:pPr>
        <w:spacing w:line="73" w:lineRule="exact"/>
        <w:rPr>
          <w:rFonts w:ascii="Calibri" w:eastAsia="Calibri" w:hAnsi="Calibri" w:cs="Calibri"/>
          <w:sz w:val="20"/>
          <w:szCs w:val="20"/>
        </w:rPr>
      </w:pPr>
    </w:p>
    <w:p w:rsidR="00EB19C1" w:rsidRDefault="00781E56">
      <w:pPr>
        <w:numPr>
          <w:ilvl w:val="0"/>
          <w:numId w:val="4"/>
        </w:numPr>
        <w:tabs>
          <w:tab w:val="left" w:pos="720"/>
        </w:tabs>
        <w:spacing w:line="336" w:lineRule="auto"/>
        <w:ind w:left="720" w:hanging="368"/>
        <w:jc w:val="both"/>
        <w:rPr>
          <w:rFonts w:ascii="Calibri" w:eastAsia="Calibri" w:hAnsi="Calibri" w:cs="Calibri"/>
          <w:sz w:val="20"/>
          <w:szCs w:val="20"/>
        </w:rPr>
      </w:pPr>
      <w:r>
        <w:rPr>
          <w:rFonts w:ascii="Calibri" w:eastAsia="Calibri" w:hAnsi="Calibri" w:cs="Calibri"/>
          <w:sz w:val="20"/>
          <w:szCs w:val="20"/>
        </w:rPr>
        <w:t>Ingrams DR, Stafford ND, Creagh TM. Angiolymphoid</w:t>
      </w:r>
      <w:r>
        <w:rPr>
          <w:rFonts w:ascii="Calibri" w:eastAsia="Calibri" w:hAnsi="Calibri" w:cs="Calibri"/>
          <w:sz w:val="20"/>
          <w:szCs w:val="20"/>
        </w:rPr>
        <w:t xml:space="preserve"> hyperplasia with eosinophilia. J Laryngol Otol.1995,-; 109(3): 262-64 .</w:t>
      </w:r>
    </w:p>
    <w:p w:rsidR="00EB19C1" w:rsidRDefault="00EB19C1">
      <w:pPr>
        <w:spacing w:line="73" w:lineRule="exact"/>
        <w:rPr>
          <w:rFonts w:ascii="Calibri" w:eastAsia="Calibri" w:hAnsi="Calibri" w:cs="Calibri"/>
          <w:sz w:val="20"/>
          <w:szCs w:val="20"/>
        </w:rPr>
      </w:pPr>
    </w:p>
    <w:p w:rsidR="00EB19C1" w:rsidRDefault="00781E56">
      <w:pPr>
        <w:numPr>
          <w:ilvl w:val="0"/>
          <w:numId w:val="4"/>
        </w:numPr>
        <w:tabs>
          <w:tab w:val="left" w:pos="720"/>
        </w:tabs>
        <w:spacing w:line="315" w:lineRule="auto"/>
        <w:ind w:left="720" w:hanging="368"/>
        <w:jc w:val="both"/>
        <w:rPr>
          <w:rFonts w:ascii="Calibri" w:eastAsia="Calibri" w:hAnsi="Calibri" w:cs="Calibri"/>
          <w:sz w:val="20"/>
          <w:szCs w:val="20"/>
        </w:rPr>
      </w:pPr>
      <w:r>
        <w:rPr>
          <w:rFonts w:ascii="Calibri" w:eastAsia="Calibri" w:hAnsi="Calibri" w:cs="Calibri"/>
          <w:sz w:val="20"/>
          <w:szCs w:val="20"/>
        </w:rPr>
        <w:t>Kempf W, Haeffner AC, Zepter K, Sander CA, Flaig MJ, Mueller B, et al. Angiolymphoid hyperplasia with</w:t>
      </w:r>
    </w:p>
    <w:p w:rsidR="00EB19C1" w:rsidRDefault="00EB19C1">
      <w:pPr>
        <w:spacing w:line="44" w:lineRule="exact"/>
        <w:rPr>
          <w:rFonts w:ascii="Calibri" w:eastAsia="Calibri" w:hAnsi="Calibri" w:cs="Calibri"/>
          <w:sz w:val="20"/>
          <w:szCs w:val="20"/>
        </w:rPr>
      </w:pPr>
    </w:p>
    <w:p w:rsidR="00EB19C1" w:rsidRDefault="00781E56">
      <w:pPr>
        <w:ind w:left="720"/>
        <w:rPr>
          <w:rFonts w:ascii="Calibri" w:eastAsia="Calibri" w:hAnsi="Calibri" w:cs="Calibri"/>
          <w:sz w:val="20"/>
          <w:szCs w:val="20"/>
        </w:rPr>
      </w:pPr>
      <w:r>
        <w:rPr>
          <w:rFonts w:ascii="Calibri" w:eastAsia="Calibri" w:hAnsi="Calibri" w:cs="Calibri"/>
          <w:sz w:val="20"/>
          <w:szCs w:val="20"/>
        </w:rPr>
        <w:t>eosinophilia:evidenceforaT-cell</w:t>
      </w:r>
    </w:p>
    <w:p w:rsidR="00EB19C1" w:rsidRDefault="00781E56">
      <w:pPr>
        <w:spacing w:line="20" w:lineRule="exact"/>
        <w:rPr>
          <w:sz w:val="20"/>
          <w:szCs w:val="20"/>
        </w:rPr>
      </w:pPr>
      <w:r>
        <w:rPr>
          <w:sz w:val="20"/>
          <w:szCs w:val="20"/>
        </w:rPr>
        <w:br w:type="column"/>
      </w:r>
    </w:p>
    <w:p w:rsidR="00EB19C1" w:rsidRDefault="00EB19C1">
      <w:pPr>
        <w:spacing w:line="200" w:lineRule="exact"/>
        <w:rPr>
          <w:sz w:val="20"/>
          <w:szCs w:val="20"/>
        </w:rPr>
      </w:pPr>
    </w:p>
    <w:p w:rsidR="00EB19C1" w:rsidRDefault="00EB19C1">
      <w:pPr>
        <w:spacing w:line="339" w:lineRule="exact"/>
        <w:rPr>
          <w:sz w:val="20"/>
          <w:szCs w:val="20"/>
        </w:rPr>
      </w:pPr>
    </w:p>
    <w:p w:rsidR="00EB19C1" w:rsidRDefault="00781E56">
      <w:pPr>
        <w:spacing w:line="315" w:lineRule="auto"/>
        <w:ind w:left="720" w:right="180"/>
        <w:rPr>
          <w:sz w:val="20"/>
          <w:szCs w:val="20"/>
        </w:rPr>
      </w:pPr>
      <w:r>
        <w:rPr>
          <w:rFonts w:ascii="Calibri" w:eastAsia="Calibri" w:hAnsi="Calibri" w:cs="Calibri"/>
          <w:sz w:val="20"/>
          <w:szCs w:val="20"/>
        </w:rPr>
        <w:t xml:space="preserve">lymphoproliferative origin. </w:t>
      </w:r>
      <w:r>
        <w:rPr>
          <w:rFonts w:ascii="Calibri" w:eastAsia="Calibri" w:hAnsi="Calibri" w:cs="Calibri"/>
          <w:i/>
          <w:iCs/>
          <w:sz w:val="20"/>
          <w:szCs w:val="20"/>
        </w:rPr>
        <w:t>Hum Pathol</w:t>
      </w:r>
      <w:r>
        <w:rPr>
          <w:rFonts w:ascii="Calibri" w:eastAsia="Calibri" w:hAnsi="Calibri" w:cs="Calibri"/>
          <w:sz w:val="20"/>
          <w:szCs w:val="20"/>
        </w:rPr>
        <w:t xml:space="preserve">. </w:t>
      </w:r>
      <w:r>
        <w:rPr>
          <w:rFonts w:ascii="Calibri" w:eastAsia="Calibri" w:hAnsi="Calibri" w:cs="Calibri"/>
          <w:sz w:val="20"/>
          <w:szCs w:val="20"/>
        </w:rPr>
        <w:t>2002,-; 33(10):-1023-29.</w:t>
      </w:r>
    </w:p>
    <w:p w:rsidR="00EB19C1" w:rsidRDefault="00EB19C1">
      <w:pPr>
        <w:spacing w:line="149" w:lineRule="exact"/>
        <w:rPr>
          <w:sz w:val="20"/>
          <w:szCs w:val="20"/>
        </w:rPr>
      </w:pPr>
    </w:p>
    <w:p w:rsidR="00EB19C1" w:rsidRDefault="00781E56">
      <w:pPr>
        <w:numPr>
          <w:ilvl w:val="0"/>
          <w:numId w:val="5"/>
        </w:numPr>
        <w:tabs>
          <w:tab w:val="left" w:pos="720"/>
        </w:tabs>
        <w:spacing w:line="344" w:lineRule="auto"/>
        <w:ind w:left="720" w:hanging="367"/>
        <w:jc w:val="both"/>
        <w:rPr>
          <w:rFonts w:ascii="Calibri" w:eastAsia="Calibri" w:hAnsi="Calibri" w:cs="Calibri"/>
          <w:sz w:val="20"/>
          <w:szCs w:val="20"/>
        </w:rPr>
      </w:pPr>
      <w:r>
        <w:rPr>
          <w:rFonts w:ascii="Calibri" w:eastAsia="Calibri" w:hAnsi="Calibri" w:cs="Calibri"/>
          <w:sz w:val="20"/>
          <w:szCs w:val="20"/>
        </w:rPr>
        <w:t xml:space="preserve">Jacob J, George S, Roy RB ,Dildeepa S. Angiolymphoid hyperplasia with eosinophilia - A case report. </w:t>
      </w:r>
      <w:r>
        <w:rPr>
          <w:rFonts w:ascii="Calibri" w:eastAsia="Calibri" w:hAnsi="Calibri" w:cs="Calibri"/>
          <w:i/>
          <w:iCs/>
          <w:sz w:val="20"/>
          <w:szCs w:val="20"/>
        </w:rPr>
        <w:t>Indian Jl of Otolaryngol Head Neck</w:t>
      </w:r>
      <w:r>
        <w:rPr>
          <w:rFonts w:ascii="Calibri" w:eastAsia="Calibri" w:hAnsi="Calibri" w:cs="Calibri"/>
          <w:sz w:val="20"/>
          <w:szCs w:val="20"/>
        </w:rPr>
        <w:t xml:space="preserve"> </w:t>
      </w:r>
      <w:r>
        <w:rPr>
          <w:rFonts w:ascii="Calibri" w:eastAsia="Calibri" w:hAnsi="Calibri" w:cs="Calibri"/>
          <w:i/>
          <w:iCs/>
          <w:sz w:val="20"/>
          <w:szCs w:val="20"/>
        </w:rPr>
        <w:t>Surg</w:t>
      </w:r>
      <w:r>
        <w:rPr>
          <w:rFonts w:ascii="Calibri" w:eastAsia="Calibri" w:hAnsi="Calibri" w:cs="Calibri"/>
          <w:sz w:val="20"/>
          <w:szCs w:val="20"/>
        </w:rPr>
        <w:t>.2006,-; 58(3):- 285-87.</w:t>
      </w:r>
    </w:p>
    <w:p w:rsidR="00EB19C1" w:rsidRDefault="00EB19C1">
      <w:pPr>
        <w:spacing w:line="69" w:lineRule="exact"/>
        <w:rPr>
          <w:rFonts w:ascii="Calibri" w:eastAsia="Calibri" w:hAnsi="Calibri" w:cs="Calibri"/>
          <w:sz w:val="20"/>
          <w:szCs w:val="20"/>
        </w:rPr>
      </w:pPr>
    </w:p>
    <w:p w:rsidR="00EB19C1" w:rsidRDefault="00781E56">
      <w:pPr>
        <w:numPr>
          <w:ilvl w:val="0"/>
          <w:numId w:val="5"/>
        </w:numPr>
        <w:tabs>
          <w:tab w:val="left" w:pos="720"/>
        </w:tabs>
        <w:spacing w:line="344" w:lineRule="auto"/>
        <w:ind w:left="720" w:hanging="367"/>
        <w:jc w:val="both"/>
        <w:rPr>
          <w:rFonts w:ascii="Calibri" w:eastAsia="Calibri" w:hAnsi="Calibri" w:cs="Calibri"/>
          <w:sz w:val="20"/>
          <w:szCs w:val="20"/>
        </w:rPr>
      </w:pPr>
      <w:r>
        <w:rPr>
          <w:rFonts w:ascii="Calibri" w:eastAsia="Calibri" w:hAnsi="Calibri" w:cs="Calibri"/>
          <w:sz w:val="20"/>
          <w:szCs w:val="20"/>
        </w:rPr>
        <w:t>Weiss SW, Enzinger FM. Epithelioid hemangioendothelioma: a vascul</w:t>
      </w:r>
      <w:r>
        <w:rPr>
          <w:rFonts w:ascii="Calibri" w:eastAsia="Calibri" w:hAnsi="Calibri" w:cs="Calibri"/>
          <w:sz w:val="20"/>
          <w:szCs w:val="20"/>
        </w:rPr>
        <w:t xml:space="preserve">ar tumor often mistaken for a carcinoma. </w:t>
      </w:r>
      <w:r>
        <w:rPr>
          <w:rFonts w:ascii="Calibri" w:eastAsia="Calibri" w:hAnsi="Calibri" w:cs="Calibri"/>
          <w:i/>
          <w:iCs/>
          <w:sz w:val="20"/>
          <w:szCs w:val="20"/>
        </w:rPr>
        <w:t>Cancer</w:t>
      </w:r>
      <w:r>
        <w:rPr>
          <w:rFonts w:ascii="Calibri" w:eastAsia="Calibri" w:hAnsi="Calibri" w:cs="Calibri"/>
          <w:sz w:val="20"/>
          <w:szCs w:val="20"/>
        </w:rPr>
        <w:t>.1982,-;50:970– 81.</w:t>
      </w:r>
    </w:p>
    <w:p w:rsidR="00EB19C1" w:rsidRDefault="00EB19C1">
      <w:pPr>
        <w:spacing w:line="19" w:lineRule="exact"/>
        <w:rPr>
          <w:sz w:val="20"/>
          <w:szCs w:val="20"/>
        </w:rPr>
      </w:pPr>
    </w:p>
    <w:p w:rsidR="00EB19C1" w:rsidRDefault="00781E56">
      <w:pPr>
        <w:rPr>
          <w:sz w:val="20"/>
          <w:szCs w:val="20"/>
        </w:rPr>
      </w:pPr>
      <w:r>
        <w:rPr>
          <w:rFonts w:ascii="Calibri" w:eastAsia="Calibri" w:hAnsi="Calibri" w:cs="Calibri"/>
          <w:color w:val="993200"/>
          <w:sz w:val="24"/>
          <w:szCs w:val="24"/>
        </w:rPr>
        <w:t>ACKNOWLEDGEMENTS</w:t>
      </w:r>
    </w:p>
    <w:p w:rsidR="00EB19C1" w:rsidRDefault="00EB19C1">
      <w:pPr>
        <w:spacing w:line="192" w:lineRule="exact"/>
        <w:rPr>
          <w:sz w:val="20"/>
          <w:szCs w:val="20"/>
        </w:rPr>
      </w:pPr>
    </w:p>
    <w:p w:rsidR="00EB19C1" w:rsidRDefault="00781E56">
      <w:pPr>
        <w:spacing w:line="348" w:lineRule="auto"/>
        <w:jc w:val="both"/>
        <w:rPr>
          <w:sz w:val="20"/>
          <w:szCs w:val="20"/>
        </w:rPr>
      </w:pPr>
      <w:r>
        <w:rPr>
          <w:rFonts w:ascii="Calibri" w:eastAsia="Calibri" w:hAnsi="Calibri" w:cs="Calibri"/>
          <w:sz w:val="20"/>
          <w:szCs w:val="20"/>
        </w:rPr>
        <w:t xml:space="preserve">We express our sincere gratitude to Department of Ophthalmology, Department of Anaesthesia, Department of Pathology, Department of Radiology and the staff at the Pravara </w:t>
      </w:r>
      <w:r>
        <w:rPr>
          <w:rFonts w:ascii="Calibri" w:eastAsia="Calibri" w:hAnsi="Calibri" w:cs="Calibri"/>
          <w:sz w:val="20"/>
          <w:szCs w:val="20"/>
        </w:rPr>
        <w:t>Rural Hospital for their cooperation and support.</w:t>
      </w:r>
    </w:p>
    <w:p w:rsidR="00EB19C1" w:rsidRDefault="00EB19C1">
      <w:pPr>
        <w:spacing w:line="388" w:lineRule="exact"/>
        <w:rPr>
          <w:sz w:val="20"/>
          <w:szCs w:val="20"/>
        </w:rPr>
      </w:pPr>
    </w:p>
    <w:p w:rsidR="00EB19C1" w:rsidRDefault="00781E56">
      <w:pPr>
        <w:rPr>
          <w:sz w:val="20"/>
          <w:szCs w:val="20"/>
        </w:rPr>
      </w:pPr>
      <w:r>
        <w:rPr>
          <w:rFonts w:ascii="Calibri" w:eastAsia="Calibri" w:hAnsi="Calibri" w:cs="Calibri"/>
          <w:color w:val="993200"/>
          <w:sz w:val="24"/>
          <w:szCs w:val="24"/>
        </w:rPr>
        <w:t>PEER REVIEW</w:t>
      </w:r>
    </w:p>
    <w:p w:rsidR="00EB19C1" w:rsidRDefault="00781E56">
      <w:pPr>
        <w:spacing w:line="238" w:lineRule="auto"/>
        <w:rPr>
          <w:sz w:val="20"/>
          <w:szCs w:val="20"/>
        </w:rPr>
      </w:pPr>
      <w:r>
        <w:rPr>
          <w:rFonts w:ascii="Calibri" w:eastAsia="Calibri" w:hAnsi="Calibri" w:cs="Calibri"/>
          <w:sz w:val="20"/>
          <w:szCs w:val="20"/>
        </w:rPr>
        <w:t>Not commissioned externally peer reviewed.</w:t>
      </w:r>
    </w:p>
    <w:p w:rsidR="00EB19C1" w:rsidRDefault="00EB19C1">
      <w:pPr>
        <w:spacing w:line="247" w:lineRule="exact"/>
        <w:rPr>
          <w:sz w:val="20"/>
          <w:szCs w:val="20"/>
        </w:rPr>
      </w:pPr>
    </w:p>
    <w:p w:rsidR="00EB19C1" w:rsidRDefault="00781E56">
      <w:pPr>
        <w:rPr>
          <w:sz w:val="20"/>
          <w:szCs w:val="20"/>
        </w:rPr>
      </w:pPr>
      <w:r>
        <w:rPr>
          <w:rFonts w:ascii="Calibri" w:eastAsia="Calibri" w:hAnsi="Calibri" w:cs="Calibri"/>
          <w:color w:val="984705"/>
          <w:sz w:val="24"/>
          <w:szCs w:val="24"/>
        </w:rPr>
        <w:t>CONSENT</w:t>
      </w:r>
    </w:p>
    <w:p w:rsidR="00EB19C1" w:rsidRDefault="00781E56">
      <w:pPr>
        <w:spacing w:line="236" w:lineRule="auto"/>
        <w:rPr>
          <w:sz w:val="20"/>
          <w:szCs w:val="20"/>
        </w:rPr>
      </w:pPr>
      <w:r>
        <w:rPr>
          <w:rFonts w:ascii="Calibri" w:eastAsia="Calibri" w:hAnsi="Calibri" w:cs="Calibri"/>
          <w:sz w:val="20"/>
          <w:szCs w:val="20"/>
        </w:rPr>
        <w:t>The authors declare that</w:t>
      </w:r>
    </w:p>
    <w:p w:rsidR="00EB19C1" w:rsidRDefault="00EB19C1">
      <w:pPr>
        <w:spacing w:line="165" w:lineRule="exact"/>
        <w:rPr>
          <w:sz w:val="20"/>
          <w:szCs w:val="20"/>
        </w:rPr>
      </w:pPr>
    </w:p>
    <w:p w:rsidR="00EB19C1" w:rsidRDefault="00781E56">
      <w:pPr>
        <w:numPr>
          <w:ilvl w:val="0"/>
          <w:numId w:val="6"/>
        </w:numPr>
        <w:tabs>
          <w:tab w:val="left" w:pos="720"/>
        </w:tabs>
        <w:spacing w:line="336" w:lineRule="auto"/>
        <w:ind w:left="720" w:hanging="367"/>
        <w:jc w:val="both"/>
        <w:rPr>
          <w:rFonts w:ascii="Calibri" w:eastAsia="Calibri" w:hAnsi="Calibri" w:cs="Calibri"/>
          <w:sz w:val="20"/>
          <w:szCs w:val="20"/>
        </w:rPr>
      </w:pPr>
      <w:r>
        <w:rPr>
          <w:rFonts w:ascii="Calibri" w:eastAsia="Calibri" w:hAnsi="Calibri" w:cs="Calibri"/>
          <w:sz w:val="20"/>
          <w:szCs w:val="20"/>
        </w:rPr>
        <w:t>They have obtained informed consent for the publication of the details relating to the patient(s) in this report.</w:t>
      </w:r>
    </w:p>
    <w:p w:rsidR="00EB19C1" w:rsidRDefault="00EB19C1">
      <w:pPr>
        <w:spacing w:line="73" w:lineRule="exact"/>
        <w:rPr>
          <w:rFonts w:ascii="Calibri" w:eastAsia="Calibri" w:hAnsi="Calibri" w:cs="Calibri"/>
          <w:sz w:val="20"/>
          <w:szCs w:val="20"/>
        </w:rPr>
      </w:pPr>
    </w:p>
    <w:p w:rsidR="00EB19C1" w:rsidRDefault="00781E56">
      <w:pPr>
        <w:numPr>
          <w:ilvl w:val="0"/>
          <w:numId w:val="6"/>
        </w:numPr>
        <w:tabs>
          <w:tab w:val="left" w:pos="720"/>
        </w:tabs>
        <w:spacing w:line="310" w:lineRule="auto"/>
        <w:ind w:left="720" w:hanging="367"/>
        <w:rPr>
          <w:rFonts w:ascii="Calibri" w:eastAsia="Calibri" w:hAnsi="Calibri" w:cs="Calibri"/>
          <w:sz w:val="20"/>
          <w:szCs w:val="20"/>
        </w:rPr>
      </w:pPr>
      <w:r>
        <w:rPr>
          <w:rFonts w:ascii="Calibri" w:eastAsia="Calibri" w:hAnsi="Calibri" w:cs="Calibri"/>
          <w:sz w:val="20"/>
          <w:szCs w:val="20"/>
        </w:rPr>
        <w:t>All possible steps have been taken to safeguard the identity of the patient(s).</w:t>
      </w:r>
    </w:p>
    <w:p w:rsidR="00EB19C1" w:rsidRDefault="00EB19C1">
      <w:pPr>
        <w:spacing w:line="96" w:lineRule="exact"/>
        <w:rPr>
          <w:rFonts w:ascii="Calibri" w:eastAsia="Calibri" w:hAnsi="Calibri" w:cs="Calibri"/>
          <w:sz w:val="20"/>
          <w:szCs w:val="20"/>
        </w:rPr>
      </w:pPr>
    </w:p>
    <w:p w:rsidR="00EB19C1" w:rsidRDefault="00781E56">
      <w:pPr>
        <w:numPr>
          <w:ilvl w:val="0"/>
          <w:numId w:val="6"/>
        </w:numPr>
        <w:tabs>
          <w:tab w:val="left" w:pos="720"/>
        </w:tabs>
        <w:spacing w:line="338" w:lineRule="auto"/>
        <w:ind w:left="720" w:hanging="367"/>
        <w:jc w:val="both"/>
        <w:rPr>
          <w:rFonts w:ascii="Calibri" w:eastAsia="Calibri" w:hAnsi="Calibri" w:cs="Calibri"/>
          <w:sz w:val="20"/>
          <w:szCs w:val="20"/>
        </w:rPr>
      </w:pPr>
      <w:r>
        <w:rPr>
          <w:rFonts w:ascii="Calibri" w:eastAsia="Calibri" w:hAnsi="Calibri" w:cs="Calibri"/>
          <w:sz w:val="20"/>
          <w:szCs w:val="20"/>
        </w:rPr>
        <w:t>This submission is compliant with the requirements of local research ethics committees.</w:t>
      </w:r>
    </w:p>
    <w:p w:rsidR="00EB19C1" w:rsidRDefault="00EB19C1">
      <w:pPr>
        <w:spacing w:line="273" w:lineRule="exact"/>
        <w:rPr>
          <w:sz w:val="20"/>
          <w:szCs w:val="20"/>
        </w:rPr>
      </w:pPr>
    </w:p>
    <w:p w:rsidR="00EB19C1" w:rsidRDefault="00781E56">
      <w:pPr>
        <w:rPr>
          <w:sz w:val="20"/>
          <w:szCs w:val="20"/>
        </w:rPr>
      </w:pPr>
      <w:r>
        <w:rPr>
          <w:rFonts w:ascii="Calibri" w:eastAsia="Calibri" w:hAnsi="Calibri" w:cs="Calibri"/>
          <w:color w:val="993200"/>
          <w:sz w:val="24"/>
          <w:szCs w:val="24"/>
        </w:rPr>
        <w:t>CONFLICTS OF INTEREST</w:t>
      </w:r>
    </w:p>
    <w:p w:rsidR="00EB19C1" w:rsidRDefault="00781E56">
      <w:pPr>
        <w:spacing w:line="238" w:lineRule="auto"/>
        <w:rPr>
          <w:sz w:val="20"/>
          <w:szCs w:val="20"/>
        </w:rPr>
      </w:pPr>
      <w:r>
        <w:rPr>
          <w:rFonts w:ascii="Calibri" w:eastAsia="Calibri" w:hAnsi="Calibri" w:cs="Calibri"/>
          <w:sz w:val="20"/>
          <w:szCs w:val="20"/>
        </w:rPr>
        <w:t>Nil</w:t>
      </w:r>
    </w:p>
    <w:p w:rsidR="00EB19C1" w:rsidRDefault="00EB19C1">
      <w:pPr>
        <w:spacing w:line="25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00" w:lineRule="exact"/>
        <w:rPr>
          <w:sz w:val="20"/>
          <w:szCs w:val="20"/>
        </w:rPr>
      </w:pPr>
    </w:p>
    <w:p w:rsidR="00EB19C1" w:rsidRDefault="00EB19C1">
      <w:pPr>
        <w:spacing w:line="267" w:lineRule="exact"/>
        <w:rPr>
          <w:sz w:val="20"/>
          <w:szCs w:val="20"/>
        </w:rPr>
      </w:pPr>
    </w:p>
    <w:p w:rsidR="00EB19C1" w:rsidRDefault="00EB19C1">
      <w:pPr>
        <w:ind w:left="4380"/>
        <w:rPr>
          <w:sz w:val="20"/>
          <w:szCs w:val="20"/>
        </w:rPr>
      </w:pPr>
    </w:p>
    <w:sectPr w:rsidR="00EB19C1" w:rsidSect="00EB19C1">
      <w:pgSz w:w="11900" w:h="16841"/>
      <w:pgMar w:top="645" w:right="839" w:bottom="0" w:left="860" w:header="0" w:footer="0" w:gutter="0"/>
      <w:cols w:num="2" w:space="720" w:equalWidth="0">
        <w:col w:w="5080" w:space="380"/>
        <w:col w:w="474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E1F29"/>
    <w:multiLevelType w:val="hybridMultilevel"/>
    <w:tmpl w:val="D88AABA0"/>
    <w:lvl w:ilvl="0" w:tplc="C2AAA2D8">
      <w:start w:val="1"/>
      <w:numFmt w:val="upperLetter"/>
      <w:lvlText w:val="%1"/>
      <w:lvlJc w:val="left"/>
    </w:lvl>
    <w:lvl w:ilvl="1" w:tplc="E81C35C6">
      <w:numFmt w:val="decimal"/>
      <w:lvlText w:val=""/>
      <w:lvlJc w:val="left"/>
    </w:lvl>
    <w:lvl w:ilvl="2" w:tplc="739E1360">
      <w:numFmt w:val="decimal"/>
      <w:lvlText w:val=""/>
      <w:lvlJc w:val="left"/>
    </w:lvl>
    <w:lvl w:ilvl="3" w:tplc="88906E86">
      <w:numFmt w:val="decimal"/>
      <w:lvlText w:val=""/>
      <w:lvlJc w:val="left"/>
    </w:lvl>
    <w:lvl w:ilvl="4" w:tplc="72046576">
      <w:numFmt w:val="decimal"/>
      <w:lvlText w:val=""/>
      <w:lvlJc w:val="left"/>
    </w:lvl>
    <w:lvl w:ilvl="5" w:tplc="B4DAB47C">
      <w:numFmt w:val="decimal"/>
      <w:lvlText w:val=""/>
      <w:lvlJc w:val="left"/>
    </w:lvl>
    <w:lvl w:ilvl="6" w:tplc="7C066CCC">
      <w:numFmt w:val="decimal"/>
      <w:lvlText w:val=""/>
      <w:lvlJc w:val="left"/>
    </w:lvl>
    <w:lvl w:ilvl="7" w:tplc="3FDE7DBA">
      <w:numFmt w:val="decimal"/>
      <w:lvlText w:val=""/>
      <w:lvlJc w:val="left"/>
    </w:lvl>
    <w:lvl w:ilvl="8" w:tplc="ED6271A8">
      <w:numFmt w:val="decimal"/>
      <w:lvlText w:val=""/>
      <w:lvlJc w:val="left"/>
    </w:lvl>
  </w:abstractNum>
  <w:abstractNum w:abstractNumId="1">
    <w:nsid w:val="2AE8944A"/>
    <w:multiLevelType w:val="hybridMultilevel"/>
    <w:tmpl w:val="F3D0368A"/>
    <w:lvl w:ilvl="0" w:tplc="9490BE6C">
      <w:start w:val="1"/>
      <w:numFmt w:val="decimal"/>
      <w:lvlText w:val="%1"/>
      <w:lvlJc w:val="left"/>
    </w:lvl>
    <w:lvl w:ilvl="1" w:tplc="D2BADFD6">
      <w:start w:val="1"/>
      <w:numFmt w:val="decimal"/>
      <w:lvlText w:val="%2."/>
      <w:lvlJc w:val="left"/>
    </w:lvl>
    <w:lvl w:ilvl="2" w:tplc="CA023EE4">
      <w:numFmt w:val="decimal"/>
      <w:lvlText w:val=""/>
      <w:lvlJc w:val="left"/>
    </w:lvl>
    <w:lvl w:ilvl="3" w:tplc="385A31B4">
      <w:numFmt w:val="decimal"/>
      <w:lvlText w:val=""/>
      <w:lvlJc w:val="left"/>
    </w:lvl>
    <w:lvl w:ilvl="4" w:tplc="4C3AD882">
      <w:numFmt w:val="decimal"/>
      <w:lvlText w:val=""/>
      <w:lvlJc w:val="left"/>
    </w:lvl>
    <w:lvl w:ilvl="5" w:tplc="A0FECFC8">
      <w:numFmt w:val="decimal"/>
      <w:lvlText w:val=""/>
      <w:lvlJc w:val="left"/>
    </w:lvl>
    <w:lvl w:ilvl="6" w:tplc="C540BDEC">
      <w:numFmt w:val="decimal"/>
      <w:lvlText w:val=""/>
      <w:lvlJc w:val="left"/>
    </w:lvl>
    <w:lvl w:ilvl="7" w:tplc="B2C8542E">
      <w:numFmt w:val="decimal"/>
      <w:lvlText w:val=""/>
      <w:lvlJc w:val="left"/>
    </w:lvl>
    <w:lvl w:ilvl="8" w:tplc="E0CA4368">
      <w:numFmt w:val="decimal"/>
      <w:lvlText w:val=""/>
      <w:lvlJc w:val="left"/>
    </w:lvl>
  </w:abstractNum>
  <w:abstractNum w:abstractNumId="2">
    <w:nsid w:val="3D1B58BA"/>
    <w:multiLevelType w:val="hybridMultilevel"/>
    <w:tmpl w:val="E006E364"/>
    <w:lvl w:ilvl="0" w:tplc="2320ED9A">
      <w:start w:val="6"/>
      <w:numFmt w:val="decimal"/>
      <w:lvlText w:val="%1."/>
      <w:lvlJc w:val="left"/>
    </w:lvl>
    <w:lvl w:ilvl="1" w:tplc="DD5E213E">
      <w:numFmt w:val="decimal"/>
      <w:lvlText w:val=""/>
      <w:lvlJc w:val="left"/>
    </w:lvl>
    <w:lvl w:ilvl="2" w:tplc="B1D4AE0C">
      <w:numFmt w:val="decimal"/>
      <w:lvlText w:val=""/>
      <w:lvlJc w:val="left"/>
    </w:lvl>
    <w:lvl w:ilvl="3" w:tplc="6FA0F162">
      <w:numFmt w:val="decimal"/>
      <w:lvlText w:val=""/>
      <w:lvlJc w:val="left"/>
    </w:lvl>
    <w:lvl w:ilvl="4" w:tplc="C988E944">
      <w:numFmt w:val="decimal"/>
      <w:lvlText w:val=""/>
      <w:lvlJc w:val="left"/>
    </w:lvl>
    <w:lvl w:ilvl="5" w:tplc="65E6B956">
      <w:numFmt w:val="decimal"/>
      <w:lvlText w:val=""/>
      <w:lvlJc w:val="left"/>
    </w:lvl>
    <w:lvl w:ilvl="6" w:tplc="C2FCDC12">
      <w:numFmt w:val="decimal"/>
      <w:lvlText w:val=""/>
      <w:lvlJc w:val="left"/>
    </w:lvl>
    <w:lvl w:ilvl="7" w:tplc="5D18C8E6">
      <w:numFmt w:val="decimal"/>
      <w:lvlText w:val=""/>
      <w:lvlJc w:val="left"/>
    </w:lvl>
    <w:lvl w:ilvl="8" w:tplc="D4323038">
      <w:numFmt w:val="decimal"/>
      <w:lvlText w:val=""/>
      <w:lvlJc w:val="left"/>
    </w:lvl>
  </w:abstractNum>
  <w:abstractNum w:abstractNumId="3">
    <w:nsid w:val="46E87CCD"/>
    <w:multiLevelType w:val="hybridMultilevel"/>
    <w:tmpl w:val="B8CC049C"/>
    <w:lvl w:ilvl="0" w:tplc="274E2AC4">
      <w:start w:val="1"/>
      <w:numFmt w:val="decimal"/>
      <w:lvlText w:val="%1."/>
      <w:lvlJc w:val="left"/>
    </w:lvl>
    <w:lvl w:ilvl="1" w:tplc="20D014A2">
      <w:numFmt w:val="decimal"/>
      <w:lvlText w:val=""/>
      <w:lvlJc w:val="left"/>
    </w:lvl>
    <w:lvl w:ilvl="2" w:tplc="07A0BF8C">
      <w:numFmt w:val="decimal"/>
      <w:lvlText w:val=""/>
      <w:lvlJc w:val="left"/>
    </w:lvl>
    <w:lvl w:ilvl="3" w:tplc="09DE0B52">
      <w:numFmt w:val="decimal"/>
      <w:lvlText w:val=""/>
      <w:lvlJc w:val="left"/>
    </w:lvl>
    <w:lvl w:ilvl="4" w:tplc="972CE3AE">
      <w:numFmt w:val="decimal"/>
      <w:lvlText w:val=""/>
      <w:lvlJc w:val="left"/>
    </w:lvl>
    <w:lvl w:ilvl="5" w:tplc="4894B88E">
      <w:numFmt w:val="decimal"/>
      <w:lvlText w:val=""/>
      <w:lvlJc w:val="left"/>
    </w:lvl>
    <w:lvl w:ilvl="6" w:tplc="C2D60BD2">
      <w:numFmt w:val="decimal"/>
      <w:lvlText w:val=""/>
      <w:lvlJc w:val="left"/>
    </w:lvl>
    <w:lvl w:ilvl="7" w:tplc="BC349FD6">
      <w:numFmt w:val="decimal"/>
      <w:lvlText w:val=""/>
      <w:lvlJc w:val="left"/>
    </w:lvl>
    <w:lvl w:ilvl="8" w:tplc="6212DE68">
      <w:numFmt w:val="decimal"/>
      <w:lvlText w:val=""/>
      <w:lvlJc w:val="left"/>
    </w:lvl>
  </w:abstractNum>
  <w:abstractNum w:abstractNumId="4">
    <w:nsid w:val="507ED7AB"/>
    <w:multiLevelType w:val="hybridMultilevel"/>
    <w:tmpl w:val="5E50A942"/>
    <w:lvl w:ilvl="0" w:tplc="D57A66D8">
      <w:start w:val="1"/>
      <w:numFmt w:val="decimal"/>
      <w:lvlText w:val="%1."/>
      <w:lvlJc w:val="left"/>
    </w:lvl>
    <w:lvl w:ilvl="1" w:tplc="C1F690A8">
      <w:numFmt w:val="decimal"/>
      <w:lvlText w:val=""/>
      <w:lvlJc w:val="left"/>
    </w:lvl>
    <w:lvl w:ilvl="2" w:tplc="EE92F282">
      <w:numFmt w:val="decimal"/>
      <w:lvlText w:val=""/>
      <w:lvlJc w:val="left"/>
    </w:lvl>
    <w:lvl w:ilvl="3" w:tplc="EE92E94A">
      <w:numFmt w:val="decimal"/>
      <w:lvlText w:val=""/>
      <w:lvlJc w:val="left"/>
    </w:lvl>
    <w:lvl w:ilvl="4" w:tplc="7CD8D07C">
      <w:numFmt w:val="decimal"/>
      <w:lvlText w:val=""/>
      <w:lvlJc w:val="left"/>
    </w:lvl>
    <w:lvl w:ilvl="5" w:tplc="C9F658F8">
      <w:numFmt w:val="decimal"/>
      <w:lvlText w:val=""/>
      <w:lvlJc w:val="left"/>
    </w:lvl>
    <w:lvl w:ilvl="6" w:tplc="80082E00">
      <w:numFmt w:val="decimal"/>
      <w:lvlText w:val=""/>
      <w:lvlJc w:val="left"/>
    </w:lvl>
    <w:lvl w:ilvl="7" w:tplc="2C367C0A">
      <w:numFmt w:val="decimal"/>
      <w:lvlText w:val=""/>
      <w:lvlJc w:val="left"/>
    </w:lvl>
    <w:lvl w:ilvl="8" w:tplc="28663A5E">
      <w:numFmt w:val="decimal"/>
      <w:lvlText w:val=""/>
      <w:lvlJc w:val="left"/>
    </w:lvl>
  </w:abstractNum>
  <w:abstractNum w:abstractNumId="5">
    <w:nsid w:val="625558EC"/>
    <w:multiLevelType w:val="hybridMultilevel"/>
    <w:tmpl w:val="3F3C6658"/>
    <w:lvl w:ilvl="0" w:tplc="BC12B8B8">
      <w:start w:val="3"/>
      <w:numFmt w:val="decimal"/>
      <w:lvlText w:val="%1."/>
      <w:lvlJc w:val="left"/>
    </w:lvl>
    <w:lvl w:ilvl="1" w:tplc="09F4415A">
      <w:start w:val="1"/>
      <w:numFmt w:val="decimal"/>
      <w:lvlText w:val="%2"/>
      <w:lvlJc w:val="left"/>
    </w:lvl>
    <w:lvl w:ilvl="2" w:tplc="7A488BF6">
      <w:numFmt w:val="decimal"/>
      <w:lvlText w:val=""/>
      <w:lvlJc w:val="left"/>
    </w:lvl>
    <w:lvl w:ilvl="3" w:tplc="FA3208EA">
      <w:numFmt w:val="decimal"/>
      <w:lvlText w:val=""/>
      <w:lvlJc w:val="left"/>
    </w:lvl>
    <w:lvl w:ilvl="4" w:tplc="4C92D9E8">
      <w:numFmt w:val="decimal"/>
      <w:lvlText w:val=""/>
      <w:lvlJc w:val="left"/>
    </w:lvl>
    <w:lvl w:ilvl="5" w:tplc="43685B94">
      <w:numFmt w:val="decimal"/>
      <w:lvlText w:val=""/>
      <w:lvlJc w:val="left"/>
    </w:lvl>
    <w:lvl w:ilvl="6" w:tplc="B2A290D8">
      <w:numFmt w:val="decimal"/>
      <w:lvlText w:val=""/>
      <w:lvlJc w:val="left"/>
    </w:lvl>
    <w:lvl w:ilvl="7" w:tplc="33BC44CC">
      <w:numFmt w:val="decimal"/>
      <w:lvlText w:val=""/>
      <w:lvlJc w:val="left"/>
    </w:lvl>
    <w:lvl w:ilvl="8" w:tplc="D60E7A50">
      <w:numFmt w:val="decimal"/>
      <w:lvlText w:val=""/>
      <w:lvlJc w:val="left"/>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B19C1"/>
    <w:rsid w:val="00781E56"/>
    <w:rsid w:val="00EB19C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9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ajuchitgopekar@yahoo.co.i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i.org/10.21767/AMJ.2011.548" TargetMode="External"/><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p</Company>
  <LinksUpToDate>false</LinksUpToDate>
  <CharactersWithSpaces>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2018-11-05T10:43:00Z</dcterms:created>
  <dcterms:modified xsi:type="dcterms:W3CDTF">2018-11-05T10:43:00Z</dcterms:modified>
</cp:coreProperties>
</file>