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940E5" w14:textId="5AD8316E" w:rsidR="00943FFB" w:rsidRPr="006828FA" w:rsidRDefault="006828FA">
      <w:pPr>
        <w:rPr>
          <w:rFonts w:asciiTheme="majorBidi" w:hAnsiTheme="majorBidi" w:cstheme="majorBidi"/>
          <w:b/>
          <w:bCs/>
          <w:lang w:val="en-US"/>
        </w:rPr>
      </w:pPr>
      <w:r w:rsidRPr="006828FA">
        <w:rPr>
          <w:rFonts w:asciiTheme="majorBidi" w:hAnsiTheme="majorBidi" w:cstheme="majorBidi"/>
          <w:b/>
          <w:bCs/>
          <w:lang w:val="en-US"/>
        </w:rPr>
        <w:t>Male infertility and the subsequent risk of cancer</w:t>
      </w:r>
    </w:p>
    <w:p w14:paraId="4E2086DC" w14:textId="77777777" w:rsidR="006828FA" w:rsidRPr="00200008" w:rsidRDefault="006828FA" w:rsidP="006828FA">
      <w:pPr>
        <w:pStyle w:val="Brdtekst"/>
        <w:rPr>
          <w:rFonts w:asciiTheme="majorBidi" w:hAnsiTheme="majorBidi" w:cstheme="majorBidi"/>
        </w:rPr>
      </w:pPr>
      <w:r w:rsidRPr="006828FA">
        <w:rPr>
          <w:rFonts w:asciiTheme="majorBidi" w:hAnsiTheme="majorBidi" w:cstheme="majorBidi"/>
        </w:rPr>
        <w:t>Samira Behboudi-Gandevani 1, Razieh Bidhendi-Yarandi 2, Mohammad</w:t>
      </w:r>
      <w:r w:rsidRPr="00200008">
        <w:rPr>
          <w:rFonts w:asciiTheme="majorBidi" w:hAnsiTheme="majorBidi" w:cstheme="majorBidi"/>
        </w:rPr>
        <w:t xml:space="preserve"> Hossein Panahi 3, Mojtaba Vaismoradi 1</w:t>
      </w:r>
    </w:p>
    <w:p w14:paraId="50E28920" w14:textId="77777777" w:rsidR="006828FA" w:rsidRPr="00200008" w:rsidRDefault="006828FA" w:rsidP="006828FA">
      <w:pPr>
        <w:pStyle w:val="Brdtekst"/>
        <w:rPr>
          <w:rFonts w:asciiTheme="majorBidi" w:hAnsiTheme="majorBidi" w:cstheme="majorBidi"/>
        </w:rPr>
      </w:pPr>
      <w:r w:rsidRPr="00200008">
        <w:rPr>
          <w:rFonts w:asciiTheme="majorBidi" w:hAnsiTheme="majorBidi" w:cstheme="majorBidi"/>
        </w:rPr>
        <w:t xml:space="preserve">1 Faculty of Nursing and Health Sciences, Nord University, 8049 </w:t>
      </w:r>
      <w:proofErr w:type="spellStart"/>
      <w:r w:rsidRPr="00200008">
        <w:rPr>
          <w:rFonts w:asciiTheme="majorBidi" w:hAnsiTheme="majorBidi" w:cstheme="majorBidi"/>
        </w:rPr>
        <w:t>Bodø</w:t>
      </w:r>
      <w:proofErr w:type="spellEnd"/>
      <w:r w:rsidRPr="00200008">
        <w:rPr>
          <w:rFonts w:asciiTheme="majorBidi" w:hAnsiTheme="majorBidi" w:cstheme="majorBidi"/>
        </w:rPr>
        <w:t xml:space="preserve">, Norway </w:t>
      </w:r>
    </w:p>
    <w:p w14:paraId="1DB37D59" w14:textId="77777777" w:rsidR="006828FA" w:rsidRPr="00200008" w:rsidRDefault="006828FA" w:rsidP="006828FA">
      <w:pPr>
        <w:pStyle w:val="Brdtekst"/>
        <w:rPr>
          <w:rFonts w:asciiTheme="majorBidi" w:hAnsiTheme="majorBidi" w:cstheme="majorBidi"/>
        </w:rPr>
      </w:pPr>
      <w:r w:rsidRPr="00200008">
        <w:rPr>
          <w:rFonts w:asciiTheme="majorBidi" w:hAnsiTheme="majorBidi" w:cstheme="majorBidi"/>
        </w:rPr>
        <w:t>2 Department of Biostatistics, University of Social Welfare and Rehabilitation Sciences, Tehran, Iran</w:t>
      </w:r>
    </w:p>
    <w:p w14:paraId="09DC8851" w14:textId="77777777" w:rsidR="006828FA" w:rsidRPr="00200008" w:rsidRDefault="006828FA" w:rsidP="006828FA">
      <w:pPr>
        <w:pStyle w:val="Brdtekst"/>
        <w:rPr>
          <w:rFonts w:asciiTheme="majorBidi" w:hAnsiTheme="majorBidi" w:cstheme="majorBidi"/>
        </w:rPr>
      </w:pPr>
      <w:r w:rsidRPr="00200008">
        <w:rPr>
          <w:rFonts w:asciiTheme="majorBidi" w:hAnsiTheme="majorBidi" w:cstheme="majorBidi"/>
        </w:rPr>
        <w:t>3 Department of Epidemiology, School of Public Health and Safety, Shahid Beheshti University of Medical Sciences, Tehran, Iran</w:t>
      </w:r>
    </w:p>
    <w:p w14:paraId="6C663BC1" w14:textId="77777777" w:rsidR="006828FA" w:rsidRPr="00200008" w:rsidRDefault="006828FA" w:rsidP="006828FA">
      <w:pPr>
        <w:pStyle w:val="Brdtekst"/>
        <w:rPr>
          <w:rFonts w:asciiTheme="majorBidi" w:hAnsiTheme="majorBidi" w:cstheme="majorBidi"/>
          <w:sz w:val="20"/>
        </w:rPr>
      </w:pPr>
      <w:r w:rsidRPr="00200008">
        <w:rPr>
          <w:rFonts w:asciiTheme="majorBidi" w:hAnsiTheme="majorBidi" w:cstheme="majorBidi"/>
        </w:rPr>
        <w:t>o</w:t>
      </w:r>
      <w:r w:rsidRPr="00200008">
        <w:rPr>
          <w:rFonts w:asciiTheme="majorBidi" w:hAnsiTheme="majorBidi" w:cstheme="majorBidi"/>
        </w:rPr>
        <w:tab/>
        <w:t xml:space="preserve"> * </w:t>
      </w:r>
      <w:r w:rsidRPr="00200008">
        <w:rPr>
          <w:rFonts w:asciiTheme="majorBidi" w:hAnsiTheme="majorBidi" w:cstheme="majorBidi"/>
          <w:b/>
          <w:bCs/>
        </w:rPr>
        <w:t>Correspondence and Presenting Author</w:t>
      </w:r>
      <w:r w:rsidRPr="00200008">
        <w:rPr>
          <w:rFonts w:asciiTheme="majorBidi" w:hAnsiTheme="majorBidi" w:cstheme="majorBidi"/>
        </w:rPr>
        <w:t xml:space="preserve">: Samira Behboudi-Gandevani, 8049 </w:t>
      </w:r>
      <w:proofErr w:type="spellStart"/>
      <w:r w:rsidRPr="00200008">
        <w:rPr>
          <w:rFonts w:asciiTheme="majorBidi" w:hAnsiTheme="majorBidi" w:cstheme="majorBidi"/>
        </w:rPr>
        <w:t>Bodø</w:t>
      </w:r>
      <w:proofErr w:type="spellEnd"/>
      <w:r w:rsidRPr="00200008">
        <w:rPr>
          <w:rFonts w:asciiTheme="majorBidi" w:hAnsiTheme="majorBidi" w:cstheme="majorBidi"/>
        </w:rPr>
        <w:t>, Norway; Tel: +4775517670, Email: samira.behboudi-gandevani@nord.no</w:t>
      </w:r>
    </w:p>
    <w:p w14:paraId="32ED213A" w14:textId="346A053B" w:rsidR="006828FA" w:rsidRDefault="006828FA" w:rsidP="006828FA">
      <w:pPr>
        <w:rPr>
          <w:lang w:val="en-US"/>
        </w:rPr>
      </w:pPr>
    </w:p>
    <w:p w14:paraId="531EFE3D" w14:textId="77777777" w:rsidR="006828FA" w:rsidRPr="00200008" w:rsidRDefault="006828FA" w:rsidP="006828FA">
      <w:pPr>
        <w:pStyle w:val="Overskrift3"/>
        <w:spacing w:before="147"/>
        <w:jc w:val="both"/>
        <w:rPr>
          <w:rFonts w:asciiTheme="majorBidi" w:hAnsiTheme="majorBidi" w:cstheme="majorBidi"/>
        </w:rPr>
      </w:pPr>
      <w:r w:rsidRPr="00200008">
        <w:rPr>
          <w:rFonts w:asciiTheme="majorBidi" w:hAnsiTheme="majorBidi" w:cstheme="majorBidi"/>
          <w:color w:val="BF5A14"/>
        </w:rPr>
        <w:t>Abstract (300 word limit)</w:t>
      </w:r>
    </w:p>
    <w:p w14:paraId="670C42A6" w14:textId="77777777" w:rsidR="006828FA" w:rsidRPr="00200008" w:rsidRDefault="006828FA" w:rsidP="006828FA">
      <w:pPr>
        <w:pStyle w:val="Brdtekst"/>
        <w:spacing w:before="90" w:line="280" w:lineRule="auto"/>
        <w:ind w:left="100"/>
        <w:rPr>
          <w:rFonts w:asciiTheme="majorBidi" w:hAnsiTheme="majorBidi" w:cstheme="majorBidi"/>
        </w:rPr>
      </w:pPr>
      <w:r w:rsidRPr="00200008">
        <w:rPr>
          <w:rFonts w:asciiTheme="majorBidi" w:hAnsiTheme="majorBidi" w:cstheme="majorBidi"/>
        </w:rPr>
        <w:t xml:space="preserve">Statement of the Problem: It is believed that male infertility, per se, may play as a risk factor for the development of genitourinary cancers in men. However, studies on cancers among men with infertility have reported controversial results. </w:t>
      </w:r>
      <w:r w:rsidRPr="00200008">
        <w:rPr>
          <w:rFonts w:asciiTheme="majorBidi" w:hAnsiTheme="majorBidi" w:cstheme="majorBidi"/>
          <w:szCs w:val="24"/>
        </w:rPr>
        <w:t xml:space="preserve">The primary objective of this systemic review and meta-analysis was to investigate the risk of developing </w:t>
      </w:r>
      <w:r w:rsidRPr="00200008">
        <w:rPr>
          <w:rFonts w:asciiTheme="majorBidi" w:eastAsia="Times New Roman" w:hAnsiTheme="majorBidi" w:cstheme="majorBidi"/>
          <w:szCs w:val="24"/>
        </w:rPr>
        <w:t>composite outcome of all cancers, regardless of the type of cancer among men with infertility diagnosis</w:t>
      </w:r>
      <w:r w:rsidRPr="00200008">
        <w:rPr>
          <w:rFonts w:asciiTheme="majorBidi" w:eastAsia="Times New Roman" w:hAnsiTheme="majorBidi" w:cstheme="majorBidi"/>
          <w:szCs w:val="24"/>
          <w:lang w:eastAsia="en-GB"/>
        </w:rPr>
        <w:t xml:space="preserve"> compared to fertile counterparts</w:t>
      </w:r>
      <w:r w:rsidRPr="00200008">
        <w:rPr>
          <w:rFonts w:asciiTheme="majorBidi" w:hAnsiTheme="majorBidi" w:cstheme="majorBidi"/>
          <w:szCs w:val="24"/>
        </w:rPr>
        <w:t>. The secondary objective was to compare</w:t>
      </w:r>
      <w:r w:rsidRPr="00200008">
        <w:rPr>
          <w:rFonts w:asciiTheme="majorBidi" w:eastAsia="Times New Roman" w:hAnsiTheme="majorBidi" w:cstheme="majorBidi"/>
          <w:szCs w:val="24"/>
          <w:lang w:eastAsia="en-GB"/>
        </w:rPr>
        <w:t xml:space="preserve"> the pooled risk of developing individual specific cancers between two groups</w:t>
      </w:r>
    </w:p>
    <w:p w14:paraId="5C65C800" w14:textId="77777777" w:rsidR="006828FA" w:rsidRPr="00200008" w:rsidRDefault="006828FA" w:rsidP="006828FA">
      <w:pPr>
        <w:pStyle w:val="Brdtekst"/>
        <w:spacing w:before="90" w:line="280" w:lineRule="auto"/>
        <w:ind w:left="100"/>
        <w:jc w:val="both"/>
        <w:rPr>
          <w:rFonts w:asciiTheme="majorBidi" w:hAnsiTheme="majorBidi" w:cstheme="majorBidi"/>
        </w:rPr>
      </w:pPr>
      <w:r w:rsidRPr="00200008">
        <w:rPr>
          <w:rFonts w:asciiTheme="majorBidi" w:hAnsiTheme="majorBidi" w:cstheme="majorBidi"/>
        </w:rPr>
        <w:t xml:space="preserve"> Methodology &amp; Theoretical Orientation: A systematic literature search was performed on the databases of PubMed (including Medline), Scopus, and Web of Science to retrieve observational studies published in English language from 01.01.1990 to 28. 02. 2021. They assessed cancer events in males with an infertility diagnosis compared to controls without infertility. The outcomes of interest were a composite outcome of cancers including all known cancer types, and also specific individual cancers. The fixed/random effects model was used to analyze heterogeneous and non-heterogeneous results. Publication bias was assessed using the Harbord test, Egger test, </w:t>
      </w:r>
      <w:proofErr w:type="spellStart"/>
      <w:r w:rsidRPr="00200008">
        <w:rPr>
          <w:rFonts w:asciiTheme="majorBidi" w:hAnsiTheme="majorBidi" w:cstheme="majorBidi"/>
        </w:rPr>
        <w:t>Begg</w:t>
      </w:r>
      <w:proofErr w:type="spellEnd"/>
      <w:r w:rsidRPr="00200008">
        <w:rPr>
          <w:rFonts w:asciiTheme="majorBidi" w:hAnsiTheme="majorBidi" w:cstheme="majorBidi"/>
        </w:rPr>
        <w:t xml:space="preserve"> test, and funnel plot. The pooled odds ratio of cancers was calculated using the </w:t>
      </w:r>
      <w:proofErr w:type="spellStart"/>
      <w:r w:rsidRPr="00200008">
        <w:rPr>
          <w:rFonts w:asciiTheme="majorBidi" w:hAnsiTheme="majorBidi" w:cstheme="majorBidi"/>
        </w:rPr>
        <w:t>DerSimonian</w:t>
      </w:r>
      <w:proofErr w:type="spellEnd"/>
      <w:r w:rsidRPr="00200008">
        <w:rPr>
          <w:rFonts w:asciiTheme="majorBidi" w:hAnsiTheme="majorBidi" w:cstheme="majorBidi"/>
        </w:rPr>
        <w:t xml:space="preserve"> and Laird, and inverse variance methods. Studies’ quality and risk of bias were assessed using structured standard tools.</w:t>
      </w:r>
    </w:p>
    <w:p w14:paraId="47B67ED7" w14:textId="77777777" w:rsidR="006828FA" w:rsidRPr="00200008" w:rsidRDefault="006828FA" w:rsidP="006828FA">
      <w:pPr>
        <w:pStyle w:val="Brdtekst"/>
        <w:spacing w:before="90" w:line="280" w:lineRule="auto"/>
        <w:ind w:left="100"/>
        <w:jc w:val="both"/>
        <w:rPr>
          <w:rFonts w:asciiTheme="majorBidi" w:hAnsiTheme="majorBidi" w:cstheme="majorBidi"/>
        </w:rPr>
      </w:pPr>
      <w:r w:rsidRPr="00200008">
        <w:rPr>
          <w:rFonts w:asciiTheme="majorBidi" w:hAnsiTheme="majorBidi" w:cstheme="majorBidi"/>
        </w:rPr>
        <w:t>Findings: We included eight cohort studies involving 168,327 men with the diagnosis of infertility and 2,252,806 men without it. The total number of composite outcome of cancers as well as individual cancers including prostate, testicular and melanoma were 1551, 324, 183 and 121 in the infertile men and 12164, 3875, 849, and 450 in the fertile men, respectively. The pooled OR of the composite outcome of cancers, regardless of the type of cancer, in men with infertility was 1.4 folds higher than those without infertility (pooled OR = 1.43, 95% confidence interval [CI]: 1.25-1.64). Meta-analysis of individual cancers including prostate, testicular and melanoma between two groups was carried out. The pooled ORs of testicular and prostate cancers in men with the diagnosis of infertility were significantly higher than controls without infertility (pooled OR = 1.91, 95% CI: 1.52-2.42 and pooled OR = 1.48, 95% CI: 1.05-2.08, respectively). Additionally, the pooled OR of melanoma in men with infertility was 1.3 folds higher than those without infertility (pooled OR = 1.31, 95% CI: 1.06-1.62).</w:t>
      </w:r>
    </w:p>
    <w:p w14:paraId="3F2CEBF3" w14:textId="77777777" w:rsidR="006828FA" w:rsidRPr="00200008" w:rsidRDefault="006828FA" w:rsidP="006828FA">
      <w:pPr>
        <w:pStyle w:val="Brdtekst"/>
        <w:spacing w:before="90" w:line="280" w:lineRule="auto"/>
        <w:ind w:left="100"/>
        <w:jc w:val="both"/>
        <w:rPr>
          <w:rFonts w:asciiTheme="majorBidi" w:hAnsiTheme="majorBidi" w:cstheme="majorBidi"/>
        </w:rPr>
      </w:pPr>
      <w:r w:rsidRPr="00200008">
        <w:rPr>
          <w:rFonts w:asciiTheme="majorBidi" w:hAnsiTheme="majorBidi" w:cstheme="majorBidi"/>
        </w:rPr>
        <w:t>Conclusion &amp; Significance: A greater risk of cancers in men with male infertility was found suggesting that the history of male infertility might be an important risk factor for developing cancers in later life. Further well-designed long-term population-based prospective studies, considering all known cancers and their accompanying risk factors should be conducted to support our findings.</w:t>
      </w:r>
    </w:p>
    <w:p w14:paraId="4E28A115" w14:textId="77777777" w:rsidR="006828FA" w:rsidRDefault="006828FA" w:rsidP="006828FA">
      <w:pPr>
        <w:pStyle w:val="Overskrift3"/>
        <w:spacing w:before="74"/>
      </w:pPr>
      <w:r>
        <w:rPr>
          <w:color w:val="BF5A14"/>
        </w:rPr>
        <w:t>Image</w:t>
      </w:r>
    </w:p>
    <w:p w14:paraId="07B8834A" w14:textId="77777777" w:rsidR="006828FA" w:rsidRDefault="006828FA" w:rsidP="006828FA">
      <w:pPr>
        <w:pStyle w:val="Brdtekst"/>
        <w:spacing w:before="2"/>
        <w:rPr>
          <w:noProof/>
          <w:lang w:val="en-IN" w:eastAsia="en-IN"/>
        </w:rPr>
      </w:pPr>
    </w:p>
    <w:p w14:paraId="4C916D7F" w14:textId="77777777" w:rsidR="006828FA" w:rsidRPr="006828FA" w:rsidRDefault="006828FA" w:rsidP="006828FA">
      <w:pPr>
        <w:rPr>
          <w:rFonts w:asciiTheme="majorBidi" w:hAnsiTheme="majorBidi" w:cstheme="majorBidi"/>
          <w:sz w:val="20"/>
          <w:szCs w:val="20"/>
          <w:lang w:val="en-US"/>
        </w:rPr>
      </w:pPr>
      <w:r w:rsidRPr="006828FA">
        <w:rPr>
          <w:rFonts w:asciiTheme="majorBidi" w:hAnsiTheme="majorBidi" w:cstheme="majorBidi"/>
          <w:sz w:val="20"/>
          <w:szCs w:val="20"/>
          <w:lang w:val="en-US"/>
        </w:rPr>
        <w:t>Figure: Forest plot of pooled odds ratio individual cancers of testicular, prostate and melanoma</w:t>
      </w:r>
    </w:p>
    <w:p w14:paraId="02228326" w14:textId="77777777" w:rsidR="006828FA" w:rsidRDefault="006828FA" w:rsidP="006828FA">
      <w:pPr>
        <w:pStyle w:val="Brdtekst"/>
        <w:spacing w:before="2"/>
        <w:rPr>
          <w:rFonts w:ascii="Arial"/>
          <w:b/>
          <w:sz w:val="16"/>
        </w:rPr>
      </w:pPr>
      <w:r w:rsidRPr="00DF40A0">
        <w:rPr>
          <w:noProof/>
        </w:rPr>
        <w:drawing>
          <wp:inline distT="0" distB="0" distL="0" distR="0" wp14:anchorId="0E32C340" wp14:editId="249BBD2F">
            <wp:extent cx="2806700" cy="21362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809359" cy="2138297"/>
                    </a:xfrm>
                    <a:prstGeom prst="rect">
                      <a:avLst/>
                    </a:prstGeom>
                  </pic:spPr>
                </pic:pic>
              </a:graphicData>
            </a:graphic>
          </wp:inline>
        </w:drawing>
      </w:r>
    </w:p>
    <w:p w14:paraId="010DEC66" w14:textId="77777777" w:rsidR="006828FA" w:rsidRDefault="006828FA" w:rsidP="006828FA">
      <w:pPr>
        <w:spacing w:line="204" w:lineRule="exact"/>
        <w:rPr>
          <w:rFonts w:ascii="Arial"/>
          <w:b/>
          <w:color w:val="BF5A14"/>
          <w:sz w:val="20"/>
        </w:rPr>
      </w:pPr>
    </w:p>
    <w:p w14:paraId="62578891" w14:textId="77777777" w:rsidR="006828FA" w:rsidRPr="006828FA" w:rsidRDefault="006828FA" w:rsidP="006828FA">
      <w:pPr>
        <w:rPr>
          <w:lang w:val="en-US"/>
        </w:rPr>
      </w:pPr>
    </w:p>
    <w:sectPr w:rsidR="006828FA" w:rsidRPr="006828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DengXian Light">
    <w:altName w:val="等线 Light"/>
    <w:charset w:val="86"/>
    <w:family w:val="roman"/>
    <w:pitch w:val="default"/>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FA"/>
    <w:rsid w:val="006828FA"/>
    <w:rsid w:val="00943FFB"/>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68B79"/>
  <w15:chartTrackingRefBased/>
  <w15:docId w15:val="{B94D44AD-07DB-4B40-8391-5B363266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link w:val="Overskrift3Tegn"/>
    <w:uiPriority w:val="1"/>
    <w:qFormat/>
    <w:rsid w:val="006828FA"/>
    <w:pPr>
      <w:widowControl w:val="0"/>
      <w:spacing w:after="0" w:line="240" w:lineRule="auto"/>
      <w:ind w:left="100"/>
      <w:outlineLvl w:val="2"/>
    </w:pPr>
    <w:rPr>
      <w:rFonts w:ascii="Arial" w:eastAsia="Arial" w:hAnsi="Arial" w:cs="Arial"/>
      <w:b/>
      <w:bCs/>
      <w:sz w:val="20"/>
      <w:szCs w:val="20"/>
      <w:lang w:val="en-US"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uiPriority w:val="1"/>
    <w:qFormat/>
    <w:rsid w:val="006828FA"/>
    <w:pPr>
      <w:widowControl w:val="0"/>
      <w:spacing w:after="0" w:line="240" w:lineRule="auto"/>
    </w:pPr>
    <w:rPr>
      <w:rFonts w:ascii="Tw Cen MT" w:eastAsia="Tw Cen MT" w:hAnsi="Tw Cen MT" w:cs="Tw Cen MT"/>
      <w:sz w:val="18"/>
      <w:szCs w:val="18"/>
      <w:lang w:val="en-US" w:eastAsia="en-US"/>
    </w:rPr>
  </w:style>
  <w:style w:type="character" w:customStyle="1" w:styleId="BrdtekstTegn">
    <w:name w:val="Brødtekst Tegn"/>
    <w:basedOn w:val="Standardskriftforavsnitt"/>
    <w:link w:val="Brdtekst"/>
    <w:uiPriority w:val="1"/>
    <w:rsid w:val="006828FA"/>
    <w:rPr>
      <w:rFonts w:ascii="Tw Cen MT" w:eastAsia="Tw Cen MT" w:hAnsi="Tw Cen MT" w:cs="Tw Cen MT"/>
      <w:sz w:val="18"/>
      <w:szCs w:val="18"/>
      <w:lang w:val="en-US" w:eastAsia="en-US"/>
    </w:rPr>
  </w:style>
  <w:style w:type="character" w:customStyle="1" w:styleId="Overskrift3Tegn">
    <w:name w:val="Overskrift 3 Tegn"/>
    <w:basedOn w:val="Standardskriftforavsnitt"/>
    <w:link w:val="Overskrift3"/>
    <w:uiPriority w:val="1"/>
    <w:rsid w:val="006828FA"/>
    <w:rPr>
      <w:rFonts w:ascii="Arial" w:eastAsia="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3133</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Samira Behboudi Gandevani</dc:creator>
  <cp:keywords/>
  <dc:description/>
  <cp:lastModifiedBy>Samira Behboudi Gandevani</cp:lastModifiedBy>
  <cp:revision>1</cp:revision>
  <dcterms:created xsi:type="dcterms:W3CDTF">2022-12-21T08:11:00Z</dcterms:created>
  <dcterms:modified xsi:type="dcterms:W3CDTF">2022-12-21T08:12:00Z</dcterms:modified>
</cp:coreProperties>
</file>