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A57D78" w:rsidP="00494130">
      <w:pPr>
        <w:pStyle w:val="Heading1"/>
        <w:spacing w:before="170"/>
        <w:ind w:left="0"/>
      </w:pPr>
      <w:r>
        <w:rPr>
          <w:color w:val="337AB7"/>
        </w:rPr>
        <w:t xml:space="preserve">Proximal </w:t>
      </w:r>
      <w:proofErr w:type="spellStart"/>
      <w:r>
        <w:rPr>
          <w:color w:val="337AB7"/>
        </w:rPr>
        <w:t>Humerus</w:t>
      </w:r>
      <w:proofErr w:type="spellEnd"/>
      <w:r>
        <w:rPr>
          <w:color w:val="337AB7"/>
        </w:rPr>
        <w:t xml:space="preserve"> Fracture</w:t>
      </w:r>
    </w:p>
    <w:p w:rsidR="0078738A" w:rsidRDefault="00A57D7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Paola </w:t>
      </w:r>
      <w:proofErr w:type="spellStart"/>
      <w:r>
        <w:rPr>
          <w:rFonts w:ascii="Arial"/>
        </w:rPr>
        <w:t>Arapi</w:t>
      </w:r>
      <w:proofErr w:type="spellEnd"/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Msc</w:t>
      </w:r>
      <w:proofErr w:type="spellEnd"/>
      <w:r w:rsidR="005973B9">
        <w:rPr>
          <w:rFonts w:ascii="Arial"/>
        </w:rPr>
        <w:t xml:space="preserve">, </w:t>
      </w:r>
      <w:r w:rsidR="00C878F0">
        <w:rPr>
          <w:rFonts w:ascii="Arial"/>
        </w:rPr>
        <w:t xml:space="preserve">University of </w:t>
      </w:r>
      <w:r>
        <w:rPr>
          <w:rFonts w:ascii="Arial"/>
        </w:rPr>
        <w:t>Medicine, Faculty of Medicine, Tirana</w:t>
      </w:r>
      <w:r w:rsidR="00C878F0">
        <w:rPr>
          <w:rFonts w:ascii="Arial"/>
        </w:rPr>
        <w:t>, Albania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A9710C" w:rsidP="001F72F1">
      <w:pPr>
        <w:spacing w:line="281" w:lineRule="auto"/>
        <w:ind w:left="101"/>
        <w:jc w:val="both"/>
        <w:rPr>
          <w:sz w:val="18"/>
          <w:szCs w:val="18"/>
        </w:rPr>
      </w:pPr>
      <w:r w:rsidRPr="00A86DA2">
        <w:rPr>
          <w:b/>
          <w:sz w:val="18"/>
          <w:szCs w:val="18"/>
        </w:rPr>
        <w:t>Statement of the Problem</w:t>
      </w:r>
      <w:r w:rsidRPr="000A3E19">
        <w:rPr>
          <w:b/>
        </w:rPr>
        <w:t>:</w:t>
      </w:r>
      <w:r>
        <w:t xml:space="preserve"> </w:t>
      </w:r>
      <w:r w:rsidR="00974F91" w:rsidRPr="00974F91">
        <w:rPr>
          <w:rFonts w:eastAsiaTheme="minorHAnsi" w:cs="Times New Roman"/>
          <w:sz w:val="18"/>
          <w:szCs w:val="18"/>
        </w:rPr>
        <w:t xml:space="preserve">In the aging population, the proximal </w:t>
      </w:r>
      <w:proofErr w:type="spellStart"/>
      <w:r w:rsidR="00974F91" w:rsidRPr="00974F91">
        <w:rPr>
          <w:rFonts w:eastAsiaTheme="minorHAnsi" w:cs="Times New Roman"/>
          <w:sz w:val="18"/>
          <w:szCs w:val="18"/>
        </w:rPr>
        <w:t>humerus</w:t>
      </w:r>
      <w:proofErr w:type="spellEnd"/>
      <w:r w:rsidR="00974F91" w:rsidRPr="00974F91">
        <w:rPr>
          <w:rFonts w:eastAsiaTheme="minorHAnsi" w:cs="Times New Roman"/>
          <w:sz w:val="18"/>
          <w:szCs w:val="18"/>
        </w:rPr>
        <w:t xml:space="preserve"> fracture is one of the most common osteoporotic fracture type. More than 75% of the patients that present with proximal </w:t>
      </w:r>
      <w:proofErr w:type="spellStart"/>
      <w:r w:rsidR="00974F91" w:rsidRPr="00974F91">
        <w:rPr>
          <w:rFonts w:eastAsiaTheme="minorHAnsi" w:cs="Times New Roman"/>
          <w:sz w:val="18"/>
          <w:szCs w:val="18"/>
        </w:rPr>
        <w:t>humerus</w:t>
      </w:r>
      <w:proofErr w:type="spellEnd"/>
      <w:r w:rsidR="00974F91" w:rsidRPr="00974F91">
        <w:rPr>
          <w:rFonts w:eastAsiaTheme="minorHAnsi" w:cs="Times New Roman"/>
          <w:sz w:val="18"/>
          <w:szCs w:val="18"/>
        </w:rPr>
        <w:t xml:space="preserve"> fracture are over 51 years old of age and 55% are woman.  In 90% of the cases the causes are low-energy injuries with the mechanism of falling from </w:t>
      </w:r>
      <w:r w:rsidR="007B42F1" w:rsidRPr="00974F91">
        <w:rPr>
          <w:rFonts w:eastAsiaTheme="minorHAnsi" w:cs="Times New Roman"/>
          <w:sz w:val="18"/>
          <w:szCs w:val="18"/>
        </w:rPr>
        <w:t>standard</w:t>
      </w:r>
      <w:r w:rsidR="00974F91" w:rsidRPr="00974F91">
        <w:rPr>
          <w:rFonts w:eastAsiaTheme="minorHAnsi" w:cs="Times New Roman"/>
          <w:sz w:val="18"/>
          <w:szCs w:val="18"/>
        </w:rPr>
        <w:t xml:space="preserve"> height and in 10% of the cases the causes are high-energy injuries such as road accidents.</w:t>
      </w:r>
      <w:r w:rsidR="007B42F1">
        <w:rPr>
          <w:rFonts w:eastAsiaTheme="minorHAnsi" w:cs="Times New Roman"/>
          <w:sz w:val="18"/>
          <w:szCs w:val="18"/>
        </w:rPr>
        <w:t xml:space="preserve"> </w:t>
      </w:r>
      <w:r w:rsidR="00A86DA2" w:rsidRPr="00605182">
        <w:rPr>
          <w:color w:val="000000"/>
          <w:sz w:val="18"/>
          <w:szCs w:val="18"/>
          <w:bdr w:val="none" w:sz="0" w:space="0" w:color="auto" w:frame="1"/>
        </w:rPr>
        <w:t xml:space="preserve">The study </w:t>
      </w:r>
      <w:r w:rsidR="00A86DA2" w:rsidRPr="00605182">
        <w:rPr>
          <w:bCs/>
          <w:color w:val="000000"/>
          <w:sz w:val="18"/>
          <w:szCs w:val="18"/>
          <w:bdr w:val="none" w:sz="0" w:space="0" w:color="auto" w:frame="1"/>
        </w:rPr>
        <w:t>purpose</w:t>
      </w:r>
      <w:r w:rsidR="00A86DA2" w:rsidRPr="00A86DA2">
        <w:rPr>
          <w:color w:val="000000"/>
          <w:sz w:val="18"/>
          <w:szCs w:val="18"/>
          <w:bdr w:val="none" w:sz="0" w:space="0" w:color="auto" w:frame="1"/>
        </w:rPr>
        <w:t xml:space="preserve"> was to assess the </w:t>
      </w:r>
      <w:r w:rsidR="007E02E0">
        <w:rPr>
          <w:color w:val="000000"/>
          <w:sz w:val="18"/>
          <w:szCs w:val="18"/>
          <w:bdr w:val="none" w:sz="0" w:space="0" w:color="auto" w:frame="1"/>
        </w:rPr>
        <w:t>prevalence of proximal</w:t>
      </w:r>
      <w:r w:rsidR="001F72F1">
        <w:rPr>
          <w:color w:val="000000"/>
          <w:sz w:val="18"/>
          <w:szCs w:val="18"/>
          <w:bdr w:val="none" w:sz="0" w:space="0" w:color="auto" w:frame="1"/>
        </w:rPr>
        <w:t xml:space="preserve"> </w:t>
      </w:r>
      <w:proofErr w:type="spellStart"/>
      <w:r w:rsidR="001F72F1">
        <w:rPr>
          <w:color w:val="000000"/>
          <w:sz w:val="18"/>
          <w:szCs w:val="18"/>
          <w:bdr w:val="none" w:sz="0" w:space="0" w:color="auto" w:frame="1"/>
        </w:rPr>
        <w:t>humer</w:t>
      </w:r>
      <w:r w:rsidR="007E02E0">
        <w:rPr>
          <w:color w:val="000000"/>
          <w:sz w:val="18"/>
          <w:szCs w:val="18"/>
          <w:bdr w:val="none" w:sz="0" w:space="0" w:color="auto" w:frame="1"/>
        </w:rPr>
        <w:t>us</w:t>
      </w:r>
      <w:proofErr w:type="spellEnd"/>
      <w:r w:rsidR="007E02E0">
        <w:rPr>
          <w:color w:val="000000"/>
          <w:sz w:val="18"/>
          <w:szCs w:val="18"/>
          <w:bdr w:val="none" w:sz="0" w:space="0" w:color="auto" w:frame="1"/>
        </w:rPr>
        <w:t xml:space="preserve"> fracture during the study period and the method of its treatment.</w:t>
      </w:r>
      <w:r w:rsidR="00A86DA2" w:rsidRPr="00A86DA2">
        <w:rPr>
          <w:color w:val="000000"/>
          <w:sz w:val="18"/>
          <w:szCs w:val="18"/>
          <w:shd w:val="clear" w:color="auto" w:fill="FFFFFF"/>
        </w:rPr>
        <w:t xml:space="preserve"> </w:t>
      </w:r>
      <w:r w:rsidR="00A86DA2" w:rsidRPr="00A86DA2">
        <w:rPr>
          <w:b/>
          <w:bCs/>
          <w:color w:val="000000"/>
          <w:sz w:val="18"/>
          <w:szCs w:val="18"/>
        </w:rPr>
        <w:t>Methodology &amp; Theoretical Orientation:</w:t>
      </w:r>
      <w:r w:rsidR="00A86DA2" w:rsidRPr="00A86DA2">
        <w:rPr>
          <w:color w:val="000000"/>
          <w:sz w:val="18"/>
          <w:szCs w:val="18"/>
          <w:bdr w:val="none" w:sz="0" w:space="0" w:color="auto" w:frame="1"/>
        </w:rPr>
        <w:t xml:space="preserve"> 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the study </w:t>
      </w:r>
      <w:r w:rsidR="007B42F1" w:rsidRPr="007B42F1">
        <w:rPr>
          <w:color w:val="111111"/>
          <w:sz w:val="18"/>
          <w:szCs w:val="18"/>
          <w:bdr w:val="none" w:sz="0" w:space="0" w:color="auto" w:frame="1"/>
          <w:shd w:val="clear" w:color="auto" w:fill="FFFFFF"/>
        </w:rPr>
        <w:t>was caring out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 from January 2018-March 2019</w:t>
      </w:r>
      <w:r w:rsidR="007B42F1" w:rsidRPr="007B42F1">
        <w:rPr>
          <w:color w:val="111111"/>
          <w:sz w:val="18"/>
          <w:szCs w:val="18"/>
          <w:bdr w:val="none" w:sz="0" w:space="0" w:color="auto" w:frame="1"/>
          <w:shd w:val="clear" w:color="auto" w:fill="FFFFFF"/>
        </w:rPr>
        <w:t> in Tirana, Albania.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 The data were provided in “Orthopedics and Traumatology Clinique”. There were 119 patients 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in total 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hospitalized due to proximal </w:t>
      </w:r>
      <w:proofErr w:type="spellStart"/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humerus</w:t>
      </w:r>
      <w:proofErr w:type="spellEnd"/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fracture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.</w:t>
      </w:r>
      <w:r w:rsidR="00A86DA2" w:rsidRPr="007B42F1">
        <w:rPr>
          <w:color w:val="000000"/>
          <w:sz w:val="18"/>
          <w:szCs w:val="18"/>
          <w:bdr w:val="none" w:sz="0" w:space="0" w:color="auto" w:frame="1"/>
        </w:rPr>
        <w:t xml:space="preserve"> </w:t>
      </w:r>
      <w:r w:rsidR="00A86DA2" w:rsidRPr="00A86DA2">
        <w:rPr>
          <w:b/>
          <w:bCs/>
          <w:color w:val="000000"/>
          <w:sz w:val="18"/>
          <w:szCs w:val="18"/>
          <w:bdr w:val="none" w:sz="0" w:space="0" w:color="auto" w:frame="1"/>
        </w:rPr>
        <w:t xml:space="preserve">Findings: </w:t>
      </w:r>
      <w:r w:rsidR="007B42F1" w:rsidRPr="007B42F1">
        <w:rPr>
          <w:color w:val="000000"/>
          <w:sz w:val="18"/>
          <w:szCs w:val="18"/>
          <w:shd w:val="clear" w:color="auto" w:fill="FFFFFF"/>
        </w:rPr>
        <w:t xml:space="preserve">Approximately 32% of patients with a proximal </w:t>
      </w:r>
      <w:proofErr w:type="spellStart"/>
      <w:r w:rsidR="007B42F1" w:rsidRPr="007B42F1">
        <w:rPr>
          <w:color w:val="000000"/>
          <w:sz w:val="18"/>
          <w:szCs w:val="18"/>
          <w:shd w:val="clear" w:color="auto" w:fill="FFFFFF"/>
        </w:rPr>
        <w:t>humerus</w:t>
      </w:r>
      <w:proofErr w:type="spellEnd"/>
      <w:r w:rsidR="007B42F1" w:rsidRPr="007B42F1">
        <w:rPr>
          <w:color w:val="000000"/>
          <w:sz w:val="18"/>
          <w:szCs w:val="18"/>
          <w:shd w:val="clear" w:color="auto" w:fill="FFFFFF"/>
        </w:rPr>
        <w:t xml:space="preserve"> fracture are treated conservatively and will regain shoulder function without surgery. More than 38% of patients are treated with metal plates and screws technique. Only 6% of the cases are treated with screw technique. Other 4% of the cases are treated with k-wire technique and the other 4% are treated with CRPF technique.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  Even though</w:t>
      </w:r>
      <w:r w:rsidR="007B42F1" w:rsidRPr="007B42F1">
        <w:rPr>
          <w:color w:val="000000"/>
          <w:sz w:val="18"/>
          <w:szCs w:val="18"/>
          <w:shd w:val="clear" w:color="auto" w:fill="FFFFFF"/>
        </w:rPr>
        <w:t> patients who are treated with surgical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 </w:t>
      </w:r>
      <w:r w:rsidR="007B42F1" w:rsidRPr="007B42F1">
        <w:rPr>
          <w:color w:val="000000"/>
          <w:sz w:val="18"/>
          <w:szCs w:val="18"/>
          <w:shd w:val="clear" w:color="auto" w:fill="FFFFFF"/>
        </w:rPr>
        <w:t>way seems to have better</w:t>
      </w:r>
      <w:r w:rsidR="007B42F1" w:rsidRPr="007B4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 </w:t>
      </w:r>
      <w:r w:rsidR="007B42F1" w:rsidRPr="007B42F1">
        <w:rPr>
          <w:color w:val="000000"/>
          <w:sz w:val="18"/>
          <w:szCs w:val="18"/>
          <w:shd w:val="clear" w:color="auto" w:fill="FFFFFF"/>
        </w:rPr>
        <w:t>results, it is not recommended too</w:t>
      </w:r>
      <w:r w:rsidR="00A86DA2" w:rsidRPr="00A86DA2">
        <w:rPr>
          <w:color w:val="000000"/>
          <w:sz w:val="18"/>
          <w:szCs w:val="18"/>
          <w:bdr w:val="none" w:sz="0" w:space="0" w:color="auto" w:frame="1"/>
        </w:rPr>
        <w:t>.</w:t>
      </w:r>
      <w:r w:rsidR="00A86DA2" w:rsidRPr="00A86DA2">
        <w:rPr>
          <w:b/>
          <w:bCs/>
          <w:color w:val="000000"/>
          <w:sz w:val="18"/>
          <w:szCs w:val="18"/>
          <w:bdr w:val="none" w:sz="0" w:space="0" w:color="auto" w:frame="1"/>
        </w:rPr>
        <w:t xml:space="preserve"> Conclusion &amp; Significance: </w:t>
      </w:r>
      <w:r w:rsidR="001F72F1" w:rsidRPr="001F7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A new approach is therefore needed to prevent the causes of this kind of fractures by previously treating the </w:t>
      </w:r>
      <w:r w:rsidR="001F72F1" w:rsidRPr="001F72F1">
        <w:rPr>
          <w:sz w:val="18"/>
          <w:szCs w:val="18"/>
          <w:bdr w:val="none" w:sz="0" w:space="0" w:color="auto" w:frame="1"/>
          <w:shd w:val="clear" w:color="auto" w:fill="FFFFFF"/>
        </w:rPr>
        <w:t>concomitant</w:t>
      </w:r>
      <w:r w:rsidR="001F72F1" w:rsidRPr="001F7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 diseases, osteoporosis and improve the safety in the home and in the workplace. Based on the current evidence surgery should not be considered the gold standard when treating proximal </w:t>
      </w:r>
      <w:proofErr w:type="spellStart"/>
      <w:r w:rsidR="001F72F1" w:rsidRPr="001F7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humerus</w:t>
      </w:r>
      <w:proofErr w:type="spellEnd"/>
      <w:r w:rsidR="001F72F1" w:rsidRPr="001F7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fractures.  Patients should be advised of the high rate of complications that are associated with choosing surgical treatment</w:t>
      </w:r>
      <w:r w:rsidR="001F7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. Neverthe</w:t>
      </w:r>
      <w:r w:rsidR="001F72F1" w:rsidRPr="001F72F1">
        <w:rPr>
          <w:color w:val="000000"/>
          <w:sz w:val="18"/>
          <w:szCs w:val="18"/>
          <w:bdr w:val="none" w:sz="0" w:space="0" w:color="auto" w:frame="1"/>
          <w:shd w:val="clear" w:color="auto" w:fill="FFFFFF"/>
        </w:rPr>
        <w:t>less because the superiority of single treatment has not been confirmed, the final decision should be made with the patient.</w:t>
      </w:r>
      <w:r w:rsidRPr="001F72F1">
        <w:rPr>
          <w:sz w:val="18"/>
          <w:szCs w:val="18"/>
        </w:rPr>
        <w:br w:type="column"/>
      </w:r>
    </w:p>
    <w:p w:rsidR="00537524" w:rsidRDefault="00537524" w:rsidP="001F72F1">
      <w:pPr>
        <w:spacing w:line="281" w:lineRule="auto"/>
        <w:ind w:left="101"/>
        <w:jc w:val="both"/>
      </w:pPr>
    </w:p>
    <w:p w:rsidR="00AE3E37" w:rsidRDefault="00537524" w:rsidP="00537524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6542FD7E" wp14:editId="6710B2B6">
            <wp:extent cx="2771775" cy="2505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883" t="1792" r="1941" b="3943"/>
                    <a:stretch/>
                  </pic:blipFill>
                  <pic:spPr bwMode="auto">
                    <a:xfrm>
                      <a:off x="0" y="0"/>
                      <a:ext cx="2775619" cy="2508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7524" w:rsidRPr="00537524" w:rsidRDefault="00537524" w:rsidP="00537524">
      <w:pPr>
        <w:pStyle w:val="BodyText"/>
        <w:spacing w:before="2"/>
        <w:rPr>
          <w:rFonts w:ascii="Arial"/>
          <w:sz w:val="16"/>
        </w:rPr>
      </w:pPr>
      <w:r>
        <w:rPr>
          <w:rFonts w:ascii="Arial"/>
          <w:sz w:val="16"/>
        </w:rPr>
        <w:t xml:space="preserve">               </w:t>
      </w:r>
      <w:r w:rsidRPr="00537524">
        <w:rPr>
          <w:rFonts w:ascii="Arial"/>
          <w:b/>
          <w:sz w:val="16"/>
        </w:rPr>
        <w:t>Figure 1</w:t>
      </w:r>
      <w:r w:rsidRPr="00537524">
        <w:rPr>
          <w:rFonts w:ascii="Arial"/>
          <w:sz w:val="16"/>
        </w:rPr>
        <w:t xml:space="preserve">. Proximal </w:t>
      </w:r>
      <w:proofErr w:type="spellStart"/>
      <w:r w:rsidRPr="00537524">
        <w:rPr>
          <w:rFonts w:ascii="Arial"/>
          <w:sz w:val="16"/>
        </w:rPr>
        <w:t>humerus</w:t>
      </w:r>
      <w:proofErr w:type="spellEnd"/>
      <w:r w:rsidRPr="00537524">
        <w:rPr>
          <w:rFonts w:ascii="Arial"/>
          <w:sz w:val="16"/>
        </w:rPr>
        <w:t xml:space="preserve"> fracture</w:t>
      </w:r>
    </w:p>
    <w:p w:rsidR="005973B9" w:rsidRDefault="005973B9" w:rsidP="0053752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537524">
        <w:rPr>
          <w:rFonts w:ascii="Arial"/>
          <w:b/>
          <w:color w:val="BF5A14"/>
          <w:sz w:val="20"/>
        </w:rPr>
        <w:t xml:space="preserve">  </w:t>
      </w:r>
      <w:r>
        <w:rPr>
          <w:rFonts w:ascii="Arial"/>
          <w:b/>
          <w:color w:val="BF5A14"/>
          <w:sz w:val="20"/>
        </w:rPr>
        <w:t xml:space="preserve">Recent Publications </w:t>
      </w:r>
    </w:p>
    <w:p w:rsidR="004B1CB0" w:rsidRPr="0024221E" w:rsidRDefault="001F72F1" w:rsidP="004B1CB0">
      <w:pPr>
        <w:pStyle w:val="ListParagraph"/>
        <w:numPr>
          <w:ilvl w:val="0"/>
          <w:numId w:val="3"/>
        </w:numPr>
        <w:spacing w:line="216" w:lineRule="exact"/>
        <w:ind w:left="389" w:hanging="288"/>
        <w:outlineLvl w:val="0"/>
        <w:rPr>
          <w:rFonts w:asciiTheme="minorHAnsi" w:eastAsia="Times New Roman" w:hAnsiTheme="minorHAnsi" w:cstheme="minorHAnsi"/>
          <w:bCs/>
          <w:kern w:val="36"/>
          <w:sz w:val="18"/>
          <w:szCs w:val="18"/>
        </w:rPr>
      </w:pPr>
      <w:proofErr w:type="spellStart"/>
      <w:r w:rsidRPr="0024221E">
        <w:rPr>
          <w:rFonts w:asciiTheme="minorHAnsi" w:hAnsiTheme="minorHAnsi" w:cstheme="minorHAnsi"/>
          <w:color w:val="303030"/>
          <w:sz w:val="18"/>
          <w:szCs w:val="18"/>
          <w:shd w:val="clear" w:color="auto" w:fill="FFFFFF"/>
        </w:rPr>
        <w:t>Schumaier</w:t>
      </w:r>
      <w:proofErr w:type="spellEnd"/>
      <w:r w:rsidRPr="0024221E">
        <w:rPr>
          <w:rFonts w:asciiTheme="minorHAnsi" w:hAnsiTheme="minorHAnsi" w:cstheme="minorHAnsi"/>
          <w:color w:val="303030"/>
          <w:sz w:val="18"/>
          <w:szCs w:val="18"/>
          <w:shd w:val="clear" w:color="auto" w:fill="FFFFFF"/>
        </w:rPr>
        <w:t xml:space="preserve">, A., &amp; </w:t>
      </w:r>
      <w:proofErr w:type="spellStart"/>
      <w:r w:rsidRPr="0024221E">
        <w:rPr>
          <w:rFonts w:asciiTheme="minorHAnsi" w:hAnsiTheme="minorHAnsi" w:cstheme="minorHAnsi"/>
          <w:color w:val="303030"/>
          <w:sz w:val="18"/>
          <w:szCs w:val="18"/>
          <w:shd w:val="clear" w:color="auto" w:fill="FFFFFF"/>
        </w:rPr>
        <w:t>Grawe</w:t>
      </w:r>
      <w:proofErr w:type="spellEnd"/>
      <w:r w:rsidRPr="0024221E">
        <w:rPr>
          <w:rFonts w:asciiTheme="minorHAnsi" w:hAnsiTheme="minorHAnsi" w:cstheme="minorHAnsi"/>
          <w:color w:val="303030"/>
          <w:sz w:val="18"/>
          <w:szCs w:val="18"/>
          <w:shd w:val="clear" w:color="auto" w:fill="FFFFFF"/>
        </w:rPr>
        <w:t xml:space="preserve">, B. (2018). Proximal </w:t>
      </w:r>
      <w:proofErr w:type="spellStart"/>
      <w:r w:rsidRPr="0024221E">
        <w:rPr>
          <w:rFonts w:asciiTheme="minorHAnsi" w:hAnsiTheme="minorHAnsi" w:cstheme="minorHAnsi"/>
          <w:color w:val="303030"/>
          <w:sz w:val="18"/>
          <w:szCs w:val="18"/>
          <w:shd w:val="clear" w:color="auto" w:fill="FFFFFF"/>
        </w:rPr>
        <w:t>Humerus</w:t>
      </w:r>
      <w:proofErr w:type="spellEnd"/>
      <w:r w:rsidRPr="0024221E">
        <w:rPr>
          <w:rFonts w:asciiTheme="minorHAnsi" w:hAnsiTheme="minorHAnsi" w:cstheme="minorHAnsi"/>
          <w:color w:val="303030"/>
          <w:sz w:val="18"/>
          <w:szCs w:val="18"/>
          <w:shd w:val="clear" w:color="auto" w:fill="FFFFFF"/>
        </w:rPr>
        <w:t xml:space="preserve"> Fractures: Evaluation and Management in the Elderly Patient. </w:t>
      </w:r>
      <w:r w:rsidRPr="0024221E">
        <w:rPr>
          <w:rFonts w:asciiTheme="minorHAnsi" w:hAnsiTheme="minorHAnsi" w:cstheme="minorHAnsi"/>
          <w:iCs/>
          <w:color w:val="303030"/>
          <w:sz w:val="18"/>
          <w:szCs w:val="18"/>
          <w:shd w:val="clear" w:color="auto" w:fill="FFFFFF"/>
        </w:rPr>
        <w:t xml:space="preserve">Geriatric </w:t>
      </w:r>
      <w:proofErr w:type="spellStart"/>
      <w:r w:rsidRPr="0024221E">
        <w:rPr>
          <w:rFonts w:asciiTheme="minorHAnsi" w:hAnsiTheme="minorHAnsi" w:cstheme="minorHAnsi"/>
          <w:iCs/>
          <w:color w:val="303030"/>
          <w:sz w:val="18"/>
          <w:szCs w:val="18"/>
          <w:shd w:val="clear" w:color="auto" w:fill="FFFFFF"/>
        </w:rPr>
        <w:t>orthopaedic</w:t>
      </w:r>
      <w:proofErr w:type="spellEnd"/>
      <w:r w:rsidRPr="0024221E">
        <w:rPr>
          <w:rFonts w:asciiTheme="minorHAnsi" w:hAnsiTheme="minorHAnsi" w:cstheme="minorHAnsi"/>
          <w:iCs/>
          <w:color w:val="303030"/>
          <w:sz w:val="18"/>
          <w:szCs w:val="18"/>
          <w:shd w:val="clear" w:color="auto" w:fill="FFFFFF"/>
        </w:rPr>
        <w:t xml:space="preserve"> surgery &amp; rehabilitation</w:t>
      </w:r>
      <w:r w:rsidRPr="0024221E">
        <w:rPr>
          <w:rFonts w:asciiTheme="minorHAnsi" w:hAnsiTheme="minorHAnsi" w:cstheme="minorHAnsi"/>
          <w:color w:val="303030"/>
          <w:sz w:val="18"/>
          <w:szCs w:val="18"/>
          <w:shd w:val="clear" w:color="auto" w:fill="FFFFFF"/>
        </w:rPr>
        <w:t>, </w:t>
      </w:r>
      <w:r w:rsidRPr="0024221E">
        <w:rPr>
          <w:rFonts w:asciiTheme="minorHAnsi" w:hAnsiTheme="minorHAnsi" w:cstheme="minorHAnsi"/>
          <w:iCs/>
          <w:color w:val="303030"/>
          <w:sz w:val="18"/>
          <w:szCs w:val="18"/>
          <w:shd w:val="clear" w:color="auto" w:fill="FFFFFF"/>
        </w:rPr>
        <w:t>9</w:t>
      </w:r>
      <w:r w:rsidRPr="0024221E">
        <w:rPr>
          <w:rFonts w:asciiTheme="minorHAnsi" w:hAnsiTheme="minorHAnsi" w:cstheme="minorHAnsi"/>
          <w:color w:val="303030"/>
          <w:sz w:val="18"/>
          <w:szCs w:val="18"/>
          <w:shd w:val="clear" w:color="auto" w:fill="FFFFFF"/>
        </w:rPr>
        <w:t>, 2151458517750516.</w:t>
      </w:r>
    </w:p>
    <w:p w:rsidR="007912B0" w:rsidRPr="007912B0" w:rsidRDefault="004B1CB0" w:rsidP="007912B0">
      <w:pPr>
        <w:pStyle w:val="ListParagraph"/>
        <w:numPr>
          <w:ilvl w:val="0"/>
          <w:numId w:val="3"/>
        </w:numPr>
        <w:spacing w:line="216" w:lineRule="exact"/>
        <w:ind w:left="389" w:hanging="288"/>
        <w:outlineLvl w:val="0"/>
        <w:rPr>
          <w:rFonts w:asciiTheme="minorHAnsi" w:eastAsia="Times New Roman" w:hAnsiTheme="minorHAnsi" w:cstheme="minorHAnsi"/>
          <w:bCs/>
          <w:kern w:val="36"/>
          <w:sz w:val="18"/>
          <w:szCs w:val="18"/>
        </w:rPr>
      </w:pPr>
      <w:r w:rsidRPr="0024221E">
        <w:rPr>
          <w:rFonts w:asciiTheme="minorHAnsi" w:hAnsiTheme="minorHAnsi" w:cstheme="minorHAnsi"/>
          <w:color w:val="333333"/>
          <w:sz w:val="18"/>
          <w:szCs w:val="18"/>
        </w:rPr>
        <w:t xml:space="preserve">Lowry, </w:t>
      </w:r>
      <w:proofErr w:type="spellStart"/>
      <w:r w:rsidRPr="0024221E">
        <w:rPr>
          <w:rFonts w:asciiTheme="minorHAnsi" w:hAnsiTheme="minorHAnsi" w:cstheme="minorHAnsi"/>
          <w:color w:val="333333"/>
          <w:sz w:val="18"/>
          <w:szCs w:val="18"/>
        </w:rPr>
        <w:t>Véronique</w:t>
      </w:r>
      <w:proofErr w:type="spellEnd"/>
      <w:r w:rsidRPr="0024221E">
        <w:rPr>
          <w:rFonts w:asciiTheme="minorHAnsi" w:hAnsiTheme="minorHAnsi" w:cstheme="minorHAnsi"/>
          <w:color w:val="333333"/>
          <w:sz w:val="18"/>
          <w:szCs w:val="18"/>
        </w:rPr>
        <w:t xml:space="preserve"> et al.</w:t>
      </w:r>
      <w:r w:rsidRPr="0024221E">
        <w:rPr>
          <w:rFonts w:asciiTheme="minorHAnsi" w:hAnsiTheme="minorHAnsi" w:cstheme="minorHAnsi"/>
          <w:color w:val="333333"/>
          <w:sz w:val="18"/>
          <w:szCs w:val="18"/>
        </w:rPr>
        <w:t xml:space="preserve"> (2017).</w:t>
      </w:r>
      <w:r w:rsidRPr="0024221E">
        <w:rPr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 </w:t>
      </w:r>
      <w:r w:rsidRPr="0024221E">
        <w:rPr>
          <w:rFonts w:asciiTheme="minorHAnsi" w:hAnsiTheme="minorHAnsi" w:cstheme="minorHAnsi"/>
          <w:bCs/>
          <w:color w:val="333333"/>
          <w:sz w:val="18"/>
          <w:szCs w:val="18"/>
        </w:rPr>
        <w:t>Acute proximal humeral fractures in adults</w:t>
      </w:r>
      <w:r w:rsidRPr="0024221E">
        <w:rPr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. </w:t>
      </w:r>
      <w:r w:rsidRPr="0024221E">
        <w:rPr>
          <w:rFonts w:asciiTheme="minorHAnsi" w:hAnsiTheme="minorHAnsi" w:cstheme="minorHAnsi"/>
          <w:color w:val="333333"/>
          <w:sz w:val="18"/>
          <w:szCs w:val="18"/>
        </w:rPr>
        <w:t xml:space="preserve">Journal of Hand Therapy, Volume 30, Issue 2, 158 </w:t>
      </w:r>
      <w:r w:rsidR="0024221E" w:rsidRPr="0024221E">
        <w:rPr>
          <w:rFonts w:asciiTheme="minorHAnsi" w:hAnsiTheme="minorHAnsi" w:cstheme="minorHAnsi"/>
          <w:color w:val="333333"/>
          <w:sz w:val="18"/>
          <w:szCs w:val="18"/>
        </w:rPr>
        <w:t>–</w:t>
      </w:r>
      <w:r w:rsidRPr="0024221E">
        <w:rPr>
          <w:rFonts w:asciiTheme="minorHAnsi" w:hAnsiTheme="minorHAnsi" w:cstheme="minorHAnsi"/>
          <w:color w:val="333333"/>
          <w:sz w:val="18"/>
          <w:szCs w:val="18"/>
        </w:rPr>
        <w:t xml:space="preserve"> 166</w:t>
      </w:r>
    </w:p>
    <w:p w:rsidR="007912B0" w:rsidRPr="007912B0" w:rsidRDefault="007912B0" w:rsidP="007912B0">
      <w:pPr>
        <w:pStyle w:val="ListParagraph"/>
        <w:numPr>
          <w:ilvl w:val="0"/>
          <w:numId w:val="3"/>
        </w:numPr>
        <w:spacing w:line="216" w:lineRule="exact"/>
        <w:ind w:left="389" w:hanging="288"/>
        <w:outlineLvl w:val="0"/>
        <w:rPr>
          <w:rFonts w:asciiTheme="minorHAnsi" w:eastAsia="Times New Roman" w:hAnsiTheme="minorHAnsi" w:cstheme="minorHAnsi"/>
          <w:bCs/>
          <w:kern w:val="36"/>
          <w:sz w:val="18"/>
          <w:szCs w:val="18"/>
        </w:rPr>
      </w:pPr>
      <w:r w:rsidRPr="007912B0">
        <w:rPr>
          <w:rFonts w:asciiTheme="minorHAnsi" w:hAnsiTheme="minorHAnsi" w:cstheme="minorHAnsi"/>
          <w:color w:val="202020"/>
          <w:sz w:val="18"/>
          <w:szCs w:val="18"/>
          <w:shd w:val="clear" w:color="auto" w:fill="FFFFFF"/>
        </w:rPr>
        <w:t xml:space="preserve">Chen L, Xing F, Xiang Z (2016) Effectiveness and Safety of Interventions for Treating Adults with Displaced Proximal Humeral Fracture: A Network Meta-Analysis and Systematic Review. </w:t>
      </w:r>
      <w:proofErr w:type="spellStart"/>
      <w:r w:rsidRPr="007912B0">
        <w:rPr>
          <w:rFonts w:asciiTheme="minorHAnsi" w:hAnsiTheme="minorHAnsi" w:cstheme="minorHAnsi"/>
          <w:color w:val="202020"/>
          <w:sz w:val="18"/>
          <w:szCs w:val="18"/>
          <w:shd w:val="clear" w:color="auto" w:fill="FFFFFF"/>
        </w:rPr>
        <w:t>PLoS</w:t>
      </w:r>
      <w:proofErr w:type="spellEnd"/>
      <w:r w:rsidRPr="007912B0">
        <w:rPr>
          <w:rFonts w:asciiTheme="minorHAnsi" w:hAnsiTheme="minorHAnsi" w:cstheme="minorHAnsi"/>
          <w:color w:val="202020"/>
          <w:sz w:val="18"/>
          <w:szCs w:val="18"/>
          <w:shd w:val="clear" w:color="auto" w:fill="FFFFFF"/>
        </w:rPr>
        <w:t xml:space="preserve"> ONE 11(11): e0166801. </w:t>
      </w:r>
    </w:p>
    <w:p w:rsidR="0024221E" w:rsidRPr="0024221E" w:rsidRDefault="0024221E" w:rsidP="0024221E">
      <w:pPr>
        <w:pStyle w:val="ListParagraph"/>
        <w:numPr>
          <w:ilvl w:val="0"/>
          <w:numId w:val="3"/>
        </w:numPr>
        <w:spacing w:line="216" w:lineRule="exact"/>
        <w:ind w:left="389" w:hanging="288"/>
        <w:outlineLvl w:val="0"/>
        <w:rPr>
          <w:rFonts w:asciiTheme="minorHAnsi" w:eastAsia="Times New Roman" w:hAnsiTheme="minorHAnsi" w:cstheme="minorHAnsi"/>
          <w:bCs/>
          <w:kern w:val="36"/>
          <w:sz w:val="18"/>
          <w:szCs w:val="18"/>
        </w:rPr>
      </w:pPr>
      <w:r w:rsidRPr="0024221E">
        <w:rPr>
          <w:rFonts w:asciiTheme="minorHAnsi" w:hAnsiTheme="minorHAnsi" w:cstheme="minorHAnsi"/>
          <w:color w:val="333333"/>
          <w:sz w:val="18"/>
          <w:szCs w:val="18"/>
        </w:rPr>
        <w:t>Bell, John-Erik et al.</w:t>
      </w:r>
      <w:r w:rsidRPr="0024221E">
        <w:rPr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 </w:t>
      </w:r>
      <w:r w:rsidRPr="0024221E">
        <w:rPr>
          <w:rFonts w:asciiTheme="minorHAnsi" w:hAnsiTheme="minorHAnsi" w:cstheme="minorHAnsi"/>
          <w:bCs/>
          <w:color w:val="333333"/>
          <w:sz w:val="18"/>
          <w:szCs w:val="18"/>
        </w:rPr>
        <w:t>(2016).</w:t>
      </w:r>
      <w:r w:rsidRPr="0024221E">
        <w:rPr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 </w:t>
      </w:r>
      <w:r w:rsidRPr="0024221E">
        <w:rPr>
          <w:rFonts w:asciiTheme="minorHAnsi" w:hAnsiTheme="minorHAnsi" w:cstheme="minorHAnsi"/>
          <w:bCs/>
          <w:color w:val="333333"/>
          <w:sz w:val="18"/>
          <w:szCs w:val="18"/>
        </w:rPr>
        <w:t xml:space="preserve">Mortality after proximal </w:t>
      </w:r>
      <w:proofErr w:type="spellStart"/>
      <w:r w:rsidRPr="0024221E">
        <w:rPr>
          <w:rFonts w:asciiTheme="minorHAnsi" w:hAnsiTheme="minorHAnsi" w:cstheme="minorHAnsi"/>
          <w:bCs/>
          <w:color w:val="333333"/>
          <w:sz w:val="18"/>
          <w:szCs w:val="18"/>
        </w:rPr>
        <w:t>humerus</w:t>
      </w:r>
      <w:proofErr w:type="spellEnd"/>
      <w:r w:rsidRPr="0024221E">
        <w:rPr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 </w:t>
      </w:r>
      <w:r w:rsidRPr="007912B0">
        <w:rPr>
          <w:rFonts w:asciiTheme="minorHAnsi" w:hAnsiTheme="minorHAnsi" w:cstheme="minorHAnsi"/>
          <w:bCs/>
          <w:color w:val="333333"/>
          <w:sz w:val="18"/>
          <w:szCs w:val="18"/>
        </w:rPr>
        <w:t>fractures</w:t>
      </w:r>
      <w:r w:rsidRPr="007912B0">
        <w:rPr>
          <w:rFonts w:asciiTheme="minorHAnsi" w:hAnsiTheme="minorHAnsi" w:cstheme="minorHAnsi"/>
          <w:bCs/>
          <w:color w:val="333333"/>
          <w:sz w:val="18"/>
          <w:szCs w:val="18"/>
        </w:rPr>
        <w:t>.</w:t>
      </w:r>
      <w:r w:rsidRPr="0024221E">
        <w:rPr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 </w:t>
      </w:r>
      <w:r w:rsidRPr="0024221E">
        <w:rPr>
          <w:rFonts w:asciiTheme="minorHAnsi" w:hAnsiTheme="minorHAnsi" w:cstheme="minorHAnsi"/>
          <w:color w:val="333333"/>
          <w:sz w:val="18"/>
          <w:szCs w:val="18"/>
        </w:rPr>
        <w:t>Journal of Shoulder and Elbow Surgery, Volume 25, Issue 6, e174</w:t>
      </w:r>
    </w:p>
    <w:p w:rsidR="001F72F1" w:rsidRPr="0024221E" w:rsidRDefault="001F72F1" w:rsidP="0024221E">
      <w:pPr>
        <w:pStyle w:val="ListParagraph"/>
        <w:numPr>
          <w:ilvl w:val="0"/>
          <w:numId w:val="3"/>
        </w:numPr>
        <w:spacing w:line="216" w:lineRule="exact"/>
        <w:ind w:left="389" w:hanging="288"/>
        <w:outlineLvl w:val="0"/>
        <w:rPr>
          <w:rFonts w:asciiTheme="minorHAnsi" w:eastAsia="Times New Roman" w:hAnsiTheme="minorHAnsi" w:cstheme="minorHAnsi"/>
          <w:bCs/>
          <w:kern w:val="36"/>
          <w:sz w:val="18"/>
          <w:szCs w:val="18"/>
        </w:rPr>
      </w:pPr>
      <w:proofErr w:type="spellStart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>Slobogean</w:t>
      </w:r>
      <w:proofErr w:type="spellEnd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 xml:space="preserve">, G. P., </w:t>
      </w:r>
      <w:proofErr w:type="spellStart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>Johal</w:t>
      </w:r>
      <w:proofErr w:type="spellEnd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 xml:space="preserve">, H., </w:t>
      </w:r>
      <w:proofErr w:type="spellStart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>Lefaivre</w:t>
      </w:r>
      <w:proofErr w:type="spellEnd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 xml:space="preserve">, K. A., </w:t>
      </w:r>
      <w:proofErr w:type="spellStart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>MacIntyre</w:t>
      </w:r>
      <w:proofErr w:type="spellEnd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 xml:space="preserve">, N. J., Sprague, S., Scott, T., … Bhandari, M. (2015). A scoping review of the proximal </w:t>
      </w:r>
      <w:proofErr w:type="spellStart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>humerus</w:t>
      </w:r>
      <w:proofErr w:type="spellEnd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 xml:space="preserve"> fracture literature. </w:t>
      </w:r>
      <w:r w:rsidRPr="0024221E">
        <w:rPr>
          <w:rFonts w:asciiTheme="minorHAnsi" w:eastAsia="Times New Roman" w:hAnsiTheme="minorHAnsi" w:cstheme="minorHAnsi"/>
          <w:i/>
          <w:iCs/>
          <w:color w:val="303030"/>
          <w:sz w:val="18"/>
          <w:szCs w:val="18"/>
        </w:rPr>
        <w:t>BMC musculoskeletal disorders</w:t>
      </w:r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>, </w:t>
      </w:r>
      <w:r w:rsidRPr="0024221E">
        <w:rPr>
          <w:rFonts w:asciiTheme="minorHAnsi" w:eastAsia="Times New Roman" w:hAnsiTheme="minorHAnsi" w:cstheme="minorHAnsi"/>
          <w:i/>
          <w:iCs/>
          <w:color w:val="303030"/>
          <w:sz w:val="18"/>
          <w:szCs w:val="18"/>
        </w:rPr>
        <w:t>16</w:t>
      </w:r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 xml:space="preserve">, 112. </w:t>
      </w:r>
      <w:proofErr w:type="gramStart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>doi:</w:t>
      </w:r>
      <w:proofErr w:type="gramEnd"/>
      <w:r w:rsidRPr="0024221E">
        <w:rPr>
          <w:rFonts w:asciiTheme="minorHAnsi" w:eastAsia="Times New Roman" w:hAnsiTheme="minorHAnsi" w:cstheme="minorHAnsi"/>
          <w:color w:val="303030"/>
          <w:sz w:val="18"/>
          <w:szCs w:val="18"/>
        </w:rPr>
        <w:t>10.1186/s12891-015-0564-8</w:t>
      </w:r>
    </w:p>
    <w:p w:rsidR="00AE3E37" w:rsidRPr="007811A5" w:rsidRDefault="008756E6">
      <w:pPr>
        <w:spacing w:line="200" w:lineRule="exact"/>
        <w:jc w:val="both"/>
        <w:rPr>
          <w:rFonts w:ascii="Calibri" w:hAnsi="Calibri"/>
        </w:rPr>
        <w:sectPr w:rsidR="00AE3E37" w:rsidRPr="007811A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811A5">
        <w:rPr>
          <w:rFonts w:ascii="Calibri" w:hAnsi="Calibri"/>
        </w:rPr>
        <w:t xml:space="preserve">   </w:t>
      </w:r>
    </w:p>
    <w:p w:rsidR="00AE3E37" w:rsidRPr="00D62425" w:rsidRDefault="007811A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92BC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47CC5">
        <w:rPr>
          <w:noProof/>
        </w:rPr>
        <w:drawing>
          <wp:inline distT="0" distB="0" distL="0" distR="0" wp14:anchorId="5B77DF87" wp14:editId="70CF5768">
            <wp:extent cx="830902" cy="1045235"/>
            <wp:effectExtent l="0" t="0" r="762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0063" cy="108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1F74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31F74" w:rsidRPr="00F04060" w:rsidRDefault="00423966" w:rsidP="007811A5">
      <w:pPr>
        <w:spacing w:beforeLines="50" w:before="120"/>
        <w:ind w:left="216" w:right="230"/>
        <w:jc w:val="both"/>
        <w:rPr>
          <w:rFonts w:ascii="Arial" w:eastAsia="MS PGothic" w:hAnsi="Arial" w:cs="Arial"/>
          <w:b/>
          <w:sz w:val="14"/>
          <w:szCs w:val="14"/>
        </w:rPr>
      </w:pPr>
      <w:proofErr w:type="spellStart"/>
      <w:r>
        <w:rPr>
          <w:rFonts w:ascii="Arial" w:hAnsi="Arial" w:cs="Arial"/>
          <w:sz w:val="14"/>
          <w:szCs w:val="14"/>
          <w:shd w:val="clear" w:color="auto" w:fill="FFFFFF"/>
        </w:rPr>
        <w:t>Msc</w:t>
      </w:r>
      <w:proofErr w:type="spellEnd"/>
      <w:r>
        <w:rPr>
          <w:rFonts w:ascii="Arial" w:hAnsi="Arial" w:cs="Arial"/>
          <w:sz w:val="14"/>
          <w:szCs w:val="14"/>
          <w:shd w:val="clear" w:color="auto" w:fill="FFFFFF"/>
        </w:rPr>
        <w:t>.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r>
        <w:rPr>
          <w:rFonts w:ascii="Arial" w:hAnsi="Arial" w:cs="Arial"/>
          <w:sz w:val="14"/>
          <w:szCs w:val="14"/>
          <w:shd w:val="clear" w:color="auto" w:fill="FFFFFF"/>
        </w:rPr>
        <w:t xml:space="preserve">Paola </w:t>
      </w:r>
      <w:proofErr w:type="spellStart"/>
      <w:r>
        <w:rPr>
          <w:rFonts w:ascii="Arial" w:hAnsi="Arial" w:cs="Arial"/>
          <w:sz w:val="14"/>
          <w:szCs w:val="14"/>
          <w:shd w:val="clear" w:color="auto" w:fill="FFFFFF"/>
        </w:rPr>
        <w:t>Arapi</w:t>
      </w:r>
      <w:proofErr w:type="spellEnd"/>
      <w:r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>in 201</w:t>
      </w:r>
      <w:r>
        <w:rPr>
          <w:rFonts w:ascii="Arial" w:hAnsi="Arial" w:cs="Arial"/>
          <w:sz w:val="14"/>
          <w:szCs w:val="14"/>
          <w:shd w:val="clear" w:color="auto" w:fill="FFFFFF"/>
        </w:rPr>
        <w:t>9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 xml:space="preserve"> has completed her </w:t>
      </w:r>
      <w:r>
        <w:rPr>
          <w:rFonts w:ascii="Arial" w:hAnsi="Arial" w:cs="Arial"/>
          <w:sz w:val="14"/>
          <w:szCs w:val="14"/>
          <w:shd w:val="clear" w:color="auto" w:fill="FFFFFF"/>
        </w:rPr>
        <w:t xml:space="preserve">studies for General Medicine in </w:t>
      </w:r>
      <w:r w:rsidR="00D95480">
        <w:rPr>
          <w:rFonts w:ascii="Arial" w:hAnsi="Arial" w:cs="Arial"/>
          <w:sz w:val="14"/>
          <w:szCs w:val="14"/>
          <w:shd w:val="clear" w:color="auto" w:fill="FFFFFF"/>
        </w:rPr>
        <w:t>the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 xml:space="preserve"> University of Medicine</w:t>
      </w:r>
      <w:r w:rsidR="00D95480">
        <w:rPr>
          <w:rFonts w:ascii="Arial" w:hAnsi="Arial" w:cs="Arial"/>
          <w:sz w:val="14"/>
          <w:szCs w:val="14"/>
          <w:shd w:val="clear" w:color="auto" w:fill="FFFFFF"/>
        </w:rPr>
        <w:t>, Faculty of Medicine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 xml:space="preserve"> in Tirana, Albania. She currently is a</w:t>
      </w:r>
      <w:r w:rsidR="00D95480">
        <w:rPr>
          <w:rFonts w:ascii="Arial" w:hAnsi="Arial" w:cs="Arial"/>
          <w:sz w:val="14"/>
          <w:szCs w:val="14"/>
          <w:shd w:val="clear" w:color="auto" w:fill="FFFFFF"/>
        </w:rPr>
        <w:t>n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r w:rsidR="00D95480">
        <w:rPr>
          <w:rFonts w:ascii="Arial" w:hAnsi="Arial" w:cs="Arial"/>
          <w:sz w:val="14"/>
          <w:szCs w:val="14"/>
          <w:shd w:val="clear" w:color="auto" w:fill="FFFFFF"/>
        </w:rPr>
        <w:t xml:space="preserve">independent researcher. 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 xml:space="preserve">She has </w:t>
      </w:r>
      <w:r w:rsidR="00D95480">
        <w:rPr>
          <w:rFonts w:ascii="Arial" w:hAnsi="Arial" w:cs="Arial"/>
          <w:sz w:val="14"/>
          <w:szCs w:val="14"/>
          <w:shd w:val="clear" w:color="auto" w:fill="FFFFFF"/>
        </w:rPr>
        <w:t>participated in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 xml:space="preserve"> scientific activities both </w:t>
      </w:r>
      <w:r w:rsidR="00D95480">
        <w:rPr>
          <w:rFonts w:ascii="Arial" w:hAnsi="Arial" w:cs="Arial"/>
          <w:sz w:val="14"/>
          <w:szCs w:val="14"/>
          <w:shd w:val="clear" w:color="auto" w:fill="FFFFFF"/>
        </w:rPr>
        <w:t xml:space="preserve">within the country and abroad. 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r w:rsidR="00D95480" w:rsidRPr="00F04060">
        <w:rPr>
          <w:rFonts w:ascii="Arial" w:hAnsi="Arial" w:cs="Arial"/>
          <w:sz w:val="14"/>
          <w:szCs w:val="14"/>
          <w:shd w:val="clear" w:color="auto" w:fill="FFFFFF"/>
        </w:rPr>
        <w:t>H</w:t>
      </w:r>
      <w:r w:rsidR="00F31F74" w:rsidRPr="00F04060">
        <w:rPr>
          <w:rFonts w:ascii="Arial" w:hAnsi="Arial" w:cs="Arial"/>
          <w:sz w:val="14"/>
          <w:szCs w:val="14"/>
          <w:shd w:val="clear" w:color="auto" w:fill="FFFFFF"/>
        </w:rPr>
        <w:t>er primary research interests</w:t>
      </w:r>
      <w:r w:rsidR="00D95480">
        <w:rPr>
          <w:rFonts w:ascii="Arial" w:hAnsi="Arial" w:cs="Arial"/>
          <w:sz w:val="14"/>
          <w:szCs w:val="14"/>
          <w:shd w:val="clear" w:color="auto" w:fill="FFFFFF"/>
        </w:rPr>
        <w:t xml:space="preserve"> are focused on preventive medicine.</w:t>
      </w:r>
    </w:p>
    <w:p w:rsidR="00AE3E37" w:rsidRPr="004277E3" w:rsidRDefault="00F31F74" w:rsidP="00F31F74">
      <w:pPr>
        <w:spacing w:before="62"/>
        <w:ind w:left="4217" w:right="4235"/>
        <w:jc w:val="center"/>
        <w:rPr>
          <w:rStyle w:val="Hyperlink"/>
          <w:rFonts w:ascii="Arial"/>
          <w:sz w:val="14"/>
          <w:u w:val="none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D95480" w:rsidRPr="0096236B">
          <w:rPr>
            <w:rStyle w:val="Hyperlink"/>
            <w:rFonts w:ascii="Arial"/>
            <w:sz w:val="14"/>
          </w:rPr>
          <w:t>arapipaola@</w:t>
        </w:r>
      </w:hyperlink>
      <w:r w:rsidR="00D95480">
        <w:rPr>
          <w:rStyle w:val="Hyperlink"/>
          <w:rFonts w:ascii="Arial"/>
          <w:sz w:val="14"/>
          <w:u w:val="none"/>
        </w:rPr>
        <w:t>gmail.com</w:t>
      </w:r>
    </w:p>
    <w:p w:rsidR="00AE3E37" w:rsidRPr="004277E3" w:rsidRDefault="00292ED9" w:rsidP="004277E3">
      <w:pPr>
        <w:spacing w:before="62"/>
        <w:ind w:left="4217" w:right="4235"/>
        <w:jc w:val="center"/>
        <w:rPr>
          <w:rFonts w:ascii="Arial"/>
          <w:sz w:val="20"/>
        </w:rPr>
      </w:pPr>
      <w:r w:rsidRPr="004277E3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82B39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RPr="004277E3" w:rsidSect="00B61EC5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F37" w:rsidRDefault="004C0F37">
      <w:r>
        <w:separator/>
      </w:r>
    </w:p>
  </w:endnote>
  <w:endnote w:type="continuationSeparator" w:id="0">
    <w:p w:rsidR="004C0F37" w:rsidRDefault="004C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F37" w:rsidRDefault="004C0F37">
      <w:r>
        <w:separator/>
      </w:r>
    </w:p>
  </w:footnote>
  <w:footnote w:type="continuationSeparator" w:id="0">
    <w:p w:rsidR="004C0F37" w:rsidRDefault="004C0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C878F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C878F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C878F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C878F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</w:t>
                          </w:r>
                          <w:proofErr w:type="spellStart"/>
                          <w:r w:rsidRPr="00C878F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C878F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C878F0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C878F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C878F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C878F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C878F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Pai n Relief 2016, 5:3(</w:t>
                    </w:r>
                    <w:proofErr w:type="spellStart"/>
                    <w:r w:rsidRPr="00C878F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C878F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C878F0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111E1AA0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37BF"/>
    <w:rsid w:val="000A3E19"/>
    <w:rsid w:val="000E2911"/>
    <w:rsid w:val="00112F41"/>
    <w:rsid w:val="001263DF"/>
    <w:rsid w:val="00153AA3"/>
    <w:rsid w:val="00197664"/>
    <w:rsid w:val="001E2D22"/>
    <w:rsid w:val="001E763C"/>
    <w:rsid w:val="001F72F1"/>
    <w:rsid w:val="0024221E"/>
    <w:rsid w:val="00292ED9"/>
    <w:rsid w:val="00296452"/>
    <w:rsid w:val="00314AFB"/>
    <w:rsid w:val="003566E2"/>
    <w:rsid w:val="00373BF0"/>
    <w:rsid w:val="003B76D9"/>
    <w:rsid w:val="003D6714"/>
    <w:rsid w:val="00404E5B"/>
    <w:rsid w:val="00414F7B"/>
    <w:rsid w:val="00423966"/>
    <w:rsid w:val="004277E3"/>
    <w:rsid w:val="004355DC"/>
    <w:rsid w:val="00447CC5"/>
    <w:rsid w:val="004749B4"/>
    <w:rsid w:val="00482D8F"/>
    <w:rsid w:val="00490058"/>
    <w:rsid w:val="00494130"/>
    <w:rsid w:val="00495773"/>
    <w:rsid w:val="004A736C"/>
    <w:rsid w:val="004B1CB0"/>
    <w:rsid w:val="004B3832"/>
    <w:rsid w:val="004C0B8A"/>
    <w:rsid w:val="004C0F37"/>
    <w:rsid w:val="004C613B"/>
    <w:rsid w:val="004F3523"/>
    <w:rsid w:val="00537524"/>
    <w:rsid w:val="005973B9"/>
    <w:rsid w:val="005B3A56"/>
    <w:rsid w:val="005B6721"/>
    <w:rsid w:val="00605182"/>
    <w:rsid w:val="006060CE"/>
    <w:rsid w:val="0063497F"/>
    <w:rsid w:val="006E7F5E"/>
    <w:rsid w:val="007811A5"/>
    <w:rsid w:val="0078738A"/>
    <w:rsid w:val="007876BE"/>
    <w:rsid w:val="007912B0"/>
    <w:rsid w:val="007B42F1"/>
    <w:rsid w:val="007E02E0"/>
    <w:rsid w:val="00852B22"/>
    <w:rsid w:val="0087043E"/>
    <w:rsid w:val="00873DF0"/>
    <w:rsid w:val="008756E6"/>
    <w:rsid w:val="008E383D"/>
    <w:rsid w:val="00972C08"/>
    <w:rsid w:val="00974F91"/>
    <w:rsid w:val="00985AB4"/>
    <w:rsid w:val="009B2D44"/>
    <w:rsid w:val="00A07E82"/>
    <w:rsid w:val="00A321E6"/>
    <w:rsid w:val="00A57D78"/>
    <w:rsid w:val="00A6770B"/>
    <w:rsid w:val="00A8636A"/>
    <w:rsid w:val="00A86DA2"/>
    <w:rsid w:val="00A9710C"/>
    <w:rsid w:val="00AA37E5"/>
    <w:rsid w:val="00AE3E37"/>
    <w:rsid w:val="00B21A57"/>
    <w:rsid w:val="00B61EC5"/>
    <w:rsid w:val="00BC736B"/>
    <w:rsid w:val="00C33602"/>
    <w:rsid w:val="00C446AB"/>
    <w:rsid w:val="00C66EE7"/>
    <w:rsid w:val="00C878F0"/>
    <w:rsid w:val="00CD6F55"/>
    <w:rsid w:val="00D4674D"/>
    <w:rsid w:val="00D62425"/>
    <w:rsid w:val="00D631B5"/>
    <w:rsid w:val="00D63330"/>
    <w:rsid w:val="00D654BC"/>
    <w:rsid w:val="00D90638"/>
    <w:rsid w:val="00D95480"/>
    <w:rsid w:val="00DE3104"/>
    <w:rsid w:val="00E911A7"/>
    <w:rsid w:val="00EB6373"/>
    <w:rsid w:val="00F04060"/>
    <w:rsid w:val="00F06BC6"/>
    <w:rsid w:val="00F31F74"/>
    <w:rsid w:val="00F3446C"/>
    <w:rsid w:val="00F72EEA"/>
    <w:rsid w:val="00F7766E"/>
    <w:rsid w:val="00F8136A"/>
    <w:rsid w:val="00F84CAE"/>
    <w:rsid w:val="00FC2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641793-6B15-43E7-B892-638E1562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1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3446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277E3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4B1CB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rapipaola@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B7D19-741F-4AC1-B356-DB3EF693D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Fatjona Kamberi</cp:lastModifiedBy>
  <cp:revision>16</cp:revision>
  <dcterms:created xsi:type="dcterms:W3CDTF">2019-07-12T14:16:00Z</dcterms:created>
  <dcterms:modified xsi:type="dcterms:W3CDTF">2019-07-12T15:44:00Z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