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A3B" w:rsidRDefault="00981A3B" w:rsidP="00981A3B">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Effect of adipose derived mesenchymal stem cells on hepatocellular carcinoma: </w:t>
      </w:r>
      <w:r>
        <w:rPr>
          <w:rFonts w:asciiTheme="majorBidi" w:hAnsiTheme="majorBidi" w:cstheme="majorBidi"/>
          <w:i/>
          <w:iCs/>
          <w:sz w:val="24"/>
          <w:szCs w:val="24"/>
        </w:rPr>
        <w:t>in vitro</w:t>
      </w:r>
      <w:r>
        <w:rPr>
          <w:rFonts w:asciiTheme="majorBidi" w:hAnsiTheme="majorBidi" w:cstheme="majorBidi"/>
          <w:sz w:val="24"/>
          <w:szCs w:val="24"/>
        </w:rPr>
        <w:t xml:space="preserve"> inhibition of carcinogenesis. </w:t>
      </w:r>
    </w:p>
    <w:p w:rsidR="00981A3B" w:rsidRDefault="00981A3B" w:rsidP="00981A3B">
      <w:pPr>
        <w:spacing w:line="480" w:lineRule="auto"/>
        <w:jc w:val="center"/>
        <w:rPr>
          <w:rFonts w:asciiTheme="majorBidi" w:hAnsiTheme="majorBidi" w:cstheme="majorBidi"/>
          <w:sz w:val="24"/>
          <w:szCs w:val="24"/>
          <w:vertAlign w:val="superscript"/>
        </w:rPr>
      </w:pPr>
      <w:r>
        <w:rPr>
          <w:rFonts w:asciiTheme="majorBidi" w:hAnsiTheme="majorBidi" w:cstheme="majorBidi"/>
          <w:sz w:val="24"/>
          <w:szCs w:val="24"/>
        </w:rPr>
        <w:t>Rim Serhal</w:t>
      </w:r>
      <w:r>
        <w:rPr>
          <w:rFonts w:asciiTheme="majorBidi" w:hAnsiTheme="majorBidi" w:cstheme="majorBidi"/>
          <w:sz w:val="24"/>
          <w:szCs w:val="24"/>
          <w:vertAlign w:val="superscript"/>
        </w:rPr>
        <w:t>2</w:t>
      </w:r>
      <w:r>
        <w:rPr>
          <w:rFonts w:asciiTheme="majorBidi" w:hAnsiTheme="majorBidi" w:cstheme="majorBidi"/>
          <w:sz w:val="24"/>
          <w:szCs w:val="24"/>
        </w:rPr>
        <w:t xml:space="preserve">, </w:t>
      </w:r>
      <w:proofErr w:type="spellStart"/>
      <w:r>
        <w:rPr>
          <w:rFonts w:asciiTheme="majorBidi" w:hAnsiTheme="majorBidi" w:cstheme="majorBidi"/>
          <w:sz w:val="24"/>
          <w:szCs w:val="24"/>
        </w:rPr>
        <w:t>Nagib</w:t>
      </w:r>
      <w:proofErr w:type="spellEnd"/>
      <w:r>
        <w:rPr>
          <w:rFonts w:asciiTheme="majorBidi" w:hAnsiTheme="majorBidi" w:cstheme="majorBidi"/>
          <w:sz w:val="24"/>
          <w:szCs w:val="24"/>
        </w:rPr>
        <w:t xml:space="preserve"> Saliba</w:t>
      </w:r>
      <w:r>
        <w:rPr>
          <w:rFonts w:asciiTheme="majorBidi" w:hAnsiTheme="majorBidi" w:cstheme="majorBidi"/>
          <w:sz w:val="24"/>
          <w:szCs w:val="24"/>
          <w:vertAlign w:val="superscript"/>
        </w:rPr>
        <w:t>4</w:t>
      </w:r>
      <w:r>
        <w:rPr>
          <w:rFonts w:asciiTheme="majorBidi" w:hAnsiTheme="majorBidi" w:cstheme="majorBidi"/>
          <w:sz w:val="24"/>
          <w:szCs w:val="24"/>
        </w:rPr>
        <w:t>, George Hilal</w:t>
      </w:r>
      <w:r>
        <w:rPr>
          <w:rFonts w:asciiTheme="majorBidi" w:hAnsiTheme="majorBidi" w:cstheme="majorBidi"/>
          <w:sz w:val="24"/>
          <w:szCs w:val="24"/>
          <w:vertAlign w:val="superscript"/>
        </w:rPr>
        <w:t>3</w:t>
      </w:r>
      <w:r>
        <w:rPr>
          <w:rFonts w:asciiTheme="majorBidi" w:hAnsiTheme="majorBidi" w:cstheme="majorBidi"/>
          <w:sz w:val="24"/>
          <w:szCs w:val="24"/>
        </w:rPr>
        <w:t xml:space="preserve">, </w:t>
      </w:r>
      <w:proofErr w:type="spellStart"/>
      <w:r>
        <w:rPr>
          <w:rFonts w:asciiTheme="majorBidi" w:hAnsiTheme="majorBidi" w:cstheme="majorBidi"/>
          <w:sz w:val="24"/>
          <w:szCs w:val="24"/>
        </w:rPr>
        <w:t>Mayssam</w:t>
      </w:r>
      <w:proofErr w:type="spellEnd"/>
      <w:r>
        <w:rPr>
          <w:rFonts w:asciiTheme="majorBidi" w:hAnsiTheme="majorBidi" w:cstheme="majorBidi"/>
          <w:sz w:val="24"/>
          <w:szCs w:val="24"/>
        </w:rPr>
        <w:t xml:space="preserve"> Moussa</w:t>
      </w:r>
      <w:r>
        <w:rPr>
          <w:rFonts w:asciiTheme="majorBidi" w:hAnsiTheme="majorBidi" w:cstheme="majorBidi"/>
          <w:sz w:val="24"/>
          <w:szCs w:val="24"/>
          <w:vertAlign w:val="superscript"/>
        </w:rPr>
        <w:t>2</w:t>
      </w:r>
      <w:r>
        <w:rPr>
          <w:rFonts w:asciiTheme="majorBidi" w:hAnsiTheme="majorBidi" w:cstheme="majorBidi"/>
          <w:sz w:val="24"/>
          <w:szCs w:val="24"/>
        </w:rPr>
        <w:t xml:space="preserve">, </w:t>
      </w:r>
      <w:proofErr w:type="spellStart"/>
      <w:r>
        <w:rPr>
          <w:rFonts w:asciiTheme="majorBidi" w:hAnsiTheme="majorBidi" w:cstheme="majorBidi"/>
          <w:sz w:val="24"/>
          <w:szCs w:val="24"/>
        </w:rPr>
        <w:t>Ghada</w:t>
      </w:r>
      <w:proofErr w:type="spellEnd"/>
      <w:r>
        <w:rPr>
          <w:rFonts w:asciiTheme="majorBidi" w:hAnsiTheme="majorBidi" w:cstheme="majorBidi"/>
          <w:sz w:val="24"/>
          <w:szCs w:val="24"/>
        </w:rPr>
        <w:t xml:space="preserve"> Hassan</w:t>
      </w:r>
      <w:r>
        <w:rPr>
          <w:rFonts w:asciiTheme="majorBidi" w:hAnsiTheme="majorBidi" w:cstheme="majorBidi"/>
          <w:sz w:val="24"/>
          <w:szCs w:val="24"/>
          <w:vertAlign w:val="superscript"/>
        </w:rPr>
        <w:t>1</w:t>
      </w:r>
      <w:r>
        <w:rPr>
          <w:rFonts w:asciiTheme="majorBidi" w:hAnsiTheme="majorBidi" w:cstheme="majorBidi"/>
          <w:sz w:val="24"/>
          <w:szCs w:val="24"/>
        </w:rPr>
        <w:t xml:space="preserve">, </w:t>
      </w:r>
      <w:proofErr w:type="spellStart"/>
      <w:r>
        <w:rPr>
          <w:rFonts w:asciiTheme="majorBidi" w:hAnsiTheme="majorBidi" w:cstheme="majorBidi"/>
          <w:sz w:val="24"/>
          <w:szCs w:val="24"/>
        </w:rPr>
        <w:t>Riad</w:t>
      </w:r>
      <w:proofErr w:type="spellEnd"/>
      <w:r>
        <w:rPr>
          <w:rFonts w:asciiTheme="majorBidi" w:hAnsiTheme="majorBidi" w:cstheme="majorBidi"/>
          <w:sz w:val="24"/>
          <w:szCs w:val="24"/>
        </w:rPr>
        <w:t xml:space="preserve"> Sarkis</w:t>
      </w:r>
      <w:r w:rsidRPr="00981A3B">
        <w:rPr>
          <w:rFonts w:asciiTheme="majorBidi" w:hAnsiTheme="majorBidi" w:cstheme="majorBidi"/>
          <w:sz w:val="24"/>
          <w:szCs w:val="24"/>
          <w:vertAlign w:val="superscript"/>
        </w:rPr>
        <w:t>4</w:t>
      </w:r>
      <w:r>
        <w:rPr>
          <w:rFonts w:asciiTheme="majorBidi" w:hAnsiTheme="majorBidi" w:cstheme="majorBidi"/>
          <w:sz w:val="24"/>
          <w:szCs w:val="24"/>
        </w:rPr>
        <w:t>, Marwan Nasr</w:t>
      </w:r>
      <w:r>
        <w:rPr>
          <w:rFonts w:asciiTheme="majorBidi" w:hAnsiTheme="majorBidi" w:cstheme="majorBidi"/>
          <w:sz w:val="24"/>
          <w:szCs w:val="24"/>
          <w:vertAlign w:val="superscript"/>
        </w:rPr>
        <w:t>4</w:t>
      </w:r>
      <w:r>
        <w:rPr>
          <w:rFonts w:asciiTheme="majorBidi" w:hAnsiTheme="majorBidi" w:cstheme="majorBidi"/>
          <w:sz w:val="24"/>
          <w:szCs w:val="24"/>
        </w:rPr>
        <w:t xml:space="preserve">, </w:t>
      </w:r>
      <w:proofErr w:type="spellStart"/>
      <w:r>
        <w:rPr>
          <w:rFonts w:asciiTheme="majorBidi" w:hAnsiTheme="majorBidi" w:cstheme="majorBidi"/>
          <w:sz w:val="24"/>
          <w:szCs w:val="24"/>
        </w:rPr>
        <w:t>Oula</w:t>
      </w:r>
      <w:proofErr w:type="spellEnd"/>
      <w:r>
        <w:rPr>
          <w:rFonts w:asciiTheme="majorBidi" w:hAnsiTheme="majorBidi" w:cstheme="majorBidi"/>
          <w:sz w:val="24"/>
          <w:szCs w:val="24"/>
        </w:rPr>
        <w:t xml:space="preserve"> El Atat</w:t>
      </w:r>
      <w:r>
        <w:rPr>
          <w:rFonts w:asciiTheme="majorBidi" w:hAnsiTheme="majorBidi" w:cstheme="majorBidi"/>
          <w:sz w:val="24"/>
          <w:szCs w:val="24"/>
          <w:vertAlign w:val="superscript"/>
        </w:rPr>
        <w:t>2</w:t>
      </w:r>
      <w:r>
        <w:rPr>
          <w:rFonts w:asciiTheme="majorBidi" w:hAnsiTheme="majorBidi" w:cstheme="majorBidi"/>
          <w:sz w:val="24"/>
          <w:szCs w:val="24"/>
        </w:rPr>
        <w:t xml:space="preserve">, </w:t>
      </w:r>
      <w:proofErr w:type="spellStart"/>
      <w:r>
        <w:rPr>
          <w:rFonts w:asciiTheme="majorBidi" w:hAnsiTheme="majorBidi" w:cstheme="majorBidi"/>
          <w:sz w:val="24"/>
          <w:szCs w:val="24"/>
        </w:rPr>
        <w:t>Charbel</w:t>
      </w:r>
      <w:proofErr w:type="spellEnd"/>
      <w:r>
        <w:rPr>
          <w:rFonts w:asciiTheme="majorBidi" w:hAnsiTheme="majorBidi" w:cstheme="majorBidi"/>
          <w:sz w:val="24"/>
          <w:szCs w:val="24"/>
        </w:rPr>
        <w:t xml:space="preserve"> Khalil</w:t>
      </w:r>
      <w:r>
        <w:rPr>
          <w:rFonts w:asciiTheme="majorBidi" w:hAnsiTheme="majorBidi" w:cstheme="majorBidi"/>
          <w:sz w:val="24"/>
          <w:szCs w:val="24"/>
          <w:vertAlign w:val="superscript"/>
        </w:rPr>
        <w:t>2</w:t>
      </w:r>
      <w:r>
        <w:rPr>
          <w:rFonts w:asciiTheme="majorBidi" w:hAnsiTheme="majorBidi" w:cstheme="majorBidi"/>
          <w:sz w:val="24"/>
          <w:szCs w:val="24"/>
        </w:rPr>
        <w:t>, Nada Alaaeddine</w:t>
      </w:r>
      <w:r>
        <w:rPr>
          <w:rFonts w:asciiTheme="majorBidi" w:hAnsiTheme="majorBidi" w:cstheme="majorBidi"/>
          <w:sz w:val="24"/>
          <w:szCs w:val="24"/>
          <w:vertAlign w:val="superscript"/>
        </w:rPr>
        <w:t>1</w:t>
      </w:r>
      <w:r>
        <w:rPr>
          <w:rFonts w:asciiTheme="majorBidi" w:hAnsiTheme="majorBidi" w:cstheme="majorBidi"/>
          <w:sz w:val="24"/>
          <w:szCs w:val="24"/>
          <w:vertAlign w:val="superscript"/>
        </w:rPr>
        <w:t>*</w:t>
      </w:r>
    </w:p>
    <w:p w:rsidR="00981A3B" w:rsidRPr="00981A3B" w:rsidRDefault="00981A3B" w:rsidP="00981A3B">
      <w:pPr>
        <w:spacing w:line="480" w:lineRule="auto"/>
        <w:jc w:val="center"/>
        <w:rPr>
          <w:rFonts w:asciiTheme="majorBidi" w:hAnsiTheme="majorBidi" w:cstheme="majorBidi"/>
          <w:sz w:val="24"/>
          <w:szCs w:val="24"/>
          <w:lang w:val="fr-FR"/>
        </w:rPr>
      </w:pPr>
      <w:r>
        <w:rPr>
          <w:rFonts w:asciiTheme="majorBidi" w:hAnsiTheme="majorBidi" w:cstheme="majorBidi"/>
          <w:sz w:val="24"/>
          <w:szCs w:val="24"/>
          <w:vertAlign w:val="superscript"/>
          <w:lang w:val="fr-FR"/>
        </w:rPr>
        <w:t>1</w:t>
      </w:r>
      <w:r w:rsidRPr="00981A3B">
        <w:rPr>
          <w:rFonts w:asciiTheme="majorBidi" w:hAnsiTheme="majorBidi" w:cstheme="majorBidi"/>
          <w:sz w:val="24"/>
          <w:szCs w:val="24"/>
          <w:lang w:val="fr-FR"/>
        </w:rPr>
        <w:t xml:space="preserve">Laboratoire d’Immunologie Cellulaire et Moléculaire, Centre Hospitalier de l’Université de Montréal, 900 rue Saint-Denis, Tour </w:t>
      </w:r>
      <w:proofErr w:type="spellStart"/>
      <w:r w:rsidRPr="00981A3B">
        <w:rPr>
          <w:rFonts w:asciiTheme="majorBidi" w:hAnsiTheme="majorBidi" w:cstheme="majorBidi"/>
          <w:sz w:val="24"/>
          <w:szCs w:val="24"/>
          <w:lang w:val="fr-FR"/>
        </w:rPr>
        <w:t>Viger</w:t>
      </w:r>
      <w:proofErr w:type="spellEnd"/>
      <w:r w:rsidRPr="00981A3B">
        <w:rPr>
          <w:rFonts w:asciiTheme="majorBidi" w:hAnsiTheme="majorBidi" w:cstheme="majorBidi"/>
          <w:sz w:val="24"/>
          <w:szCs w:val="24"/>
          <w:lang w:val="fr-FR"/>
        </w:rPr>
        <w:t>, Room 10-482, Montréal, QC, Canada</w:t>
      </w:r>
    </w:p>
    <w:p w:rsidR="00981A3B" w:rsidRDefault="00981A3B" w:rsidP="00981A3B">
      <w:pPr>
        <w:spacing w:line="480" w:lineRule="auto"/>
        <w:jc w:val="center"/>
        <w:rPr>
          <w:rFonts w:asciiTheme="majorBidi" w:hAnsiTheme="majorBidi" w:cstheme="majorBidi"/>
          <w:sz w:val="24"/>
          <w:szCs w:val="24"/>
        </w:rPr>
      </w:pPr>
      <w:r>
        <w:rPr>
          <w:rFonts w:asciiTheme="majorBidi" w:hAnsiTheme="majorBidi" w:cstheme="majorBidi"/>
          <w:sz w:val="24"/>
          <w:szCs w:val="24"/>
          <w:vertAlign w:val="superscript"/>
        </w:rPr>
        <w:t>2</w:t>
      </w:r>
      <w:r>
        <w:rPr>
          <w:rFonts w:asciiTheme="majorBidi" w:hAnsiTheme="majorBidi" w:cstheme="majorBidi"/>
          <w:sz w:val="24"/>
          <w:szCs w:val="24"/>
        </w:rPr>
        <w:t xml:space="preserve">Regenerative Medicine Laboratory, Faculty of Medicine, Saint-Joseph University, Damascus Road, </w:t>
      </w:r>
      <w:proofErr w:type="spellStart"/>
      <w:r>
        <w:rPr>
          <w:rFonts w:asciiTheme="majorBidi" w:hAnsiTheme="majorBidi" w:cstheme="majorBidi"/>
          <w:sz w:val="24"/>
          <w:szCs w:val="24"/>
        </w:rPr>
        <w:t>P.</w:t>
      </w:r>
      <w:proofErr w:type="gramStart"/>
      <w:r>
        <w:rPr>
          <w:rFonts w:asciiTheme="majorBidi" w:hAnsiTheme="majorBidi" w:cstheme="majorBidi"/>
          <w:sz w:val="24"/>
          <w:szCs w:val="24"/>
        </w:rPr>
        <w:t>O.Box</w:t>
      </w:r>
      <w:proofErr w:type="spellEnd"/>
      <w:proofErr w:type="gramEnd"/>
      <w:r>
        <w:rPr>
          <w:rFonts w:asciiTheme="majorBidi" w:hAnsiTheme="majorBidi" w:cstheme="majorBidi"/>
          <w:sz w:val="24"/>
          <w:szCs w:val="24"/>
        </w:rPr>
        <w:t xml:space="preserve"> 11-5076, </w:t>
      </w:r>
      <w:proofErr w:type="spellStart"/>
      <w:r>
        <w:rPr>
          <w:rFonts w:asciiTheme="majorBidi" w:hAnsiTheme="majorBidi" w:cstheme="majorBidi"/>
          <w:sz w:val="24"/>
          <w:szCs w:val="24"/>
        </w:rPr>
        <w:t>Riad</w:t>
      </w:r>
      <w:proofErr w:type="spellEnd"/>
      <w:r>
        <w:rPr>
          <w:rFonts w:asciiTheme="majorBidi" w:hAnsiTheme="majorBidi" w:cstheme="majorBidi"/>
          <w:sz w:val="24"/>
          <w:szCs w:val="24"/>
        </w:rPr>
        <w:t xml:space="preserve"> el </w:t>
      </w:r>
      <w:proofErr w:type="spellStart"/>
      <w:r>
        <w:rPr>
          <w:rFonts w:asciiTheme="majorBidi" w:hAnsiTheme="majorBidi" w:cstheme="majorBidi"/>
          <w:sz w:val="24"/>
          <w:szCs w:val="24"/>
        </w:rPr>
        <w:t>Solh</w:t>
      </w:r>
      <w:proofErr w:type="spellEnd"/>
      <w:r>
        <w:rPr>
          <w:rFonts w:asciiTheme="majorBidi" w:hAnsiTheme="majorBidi" w:cstheme="majorBidi"/>
          <w:sz w:val="24"/>
          <w:szCs w:val="24"/>
        </w:rPr>
        <w:t>, Beirut 1107 2180, Lebanon</w:t>
      </w:r>
    </w:p>
    <w:p w:rsidR="00981A3B" w:rsidRDefault="00981A3B" w:rsidP="00981A3B">
      <w:pPr>
        <w:spacing w:line="480" w:lineRule="auto"/>
        <w:jc w:val="center"/>
        <w:rPr>
          <w:rFonts w:asciiTheme="majorBidi" w:hAnsiTheme="majorBidi" w:cstheme="majorBidi"/>
          <w:sz w:val="24"/>
          <w:szCs w:val="24"/>
        </w:rPr>
      </w:pPr>
      <w:r>
        <w:rPr>
          <w:rFonts w:asciiTheme="majorBidi" w:hAnsiTheme="majorBidi" w:cstheme="majorBidi"/>
          <w:sz w:val="24"/>
          <w:szCs w:val="24"/>
          <w:vertAlign w:val="superscript"/>
        </w:rPr>
        <w:t>3</w:t>
      </w:r>
      <w:r>
        <w:rPr>
          <w:rFonts w:asciiTheme="majorBidi" w:hAnsiTheme="majorBidi" w:cstheme="majorBidi"/>
          <w:sz w:val="24"/>
          <w:szCs w:val="24"/>
        </w:rPr>
        <w:t xml:space="preserve">Cancer and Metabolism Laboratory, Faculty of Medicine, Campus of Medical Sciences, Saint-Joseph University, Damascus Road, </w:t>
      </w:r>
      <w:proofErr w:type="spellStart"/>
      <w:r>
        <w:rPr>
          <w:rFonts w:asciiTheme="majorBidi" w:hAnsiTheme="majorBidi" w:cstheme="majorBidi"/>
          <w:sz w:val="24"/>
          <w:szCs w:val="24"/>
        </w:rPr>
        <w:t>P.</w:t>
      </w:r>
      <w:proofErr w:type="gramStart"/>
      <w:r>
        <w:rPr>
          <w:rFonts w:asciiTheme="majorBidi" w:hAnsiTheme="majorBidi" w:cstheme="majorBidi"/>
          <w:sz w:val="24"/>
          <w:szCs w:val="24"/>
        </w:rPr>
        <w:t>O.Box</w:t>
      </w:r>
      <w:proofErr w:type="spellEnd"/>
      <w:proofErr w:type="gramEnd"/>
      <w:r>
        <w:rPr>
          <w:rFonts w:asciiTheme="majorBidi" w:hAnsiTheme="majorBidi" w:cstheme="majorBidi"/>
          <w:sz w:val="24"/>
          <w:szCs w:val="24"/>
        </w:rPr>
        <w:t xml:space="preserve"> 11-5076, </w:t>
      </w:r>
      <w:proofErr w:type="spellStart"/>
      <w:r>
        <w:rPr>
          <w:rFonts w:asciiTheme="majorBidi" w:hAnsiTheme="majorBidi" w:cstheme="majorBidi"/>
          <w:sz w:val="24"/>
          <w:szCs w:val="24"/>
        </w:rPr>
        <w:t>Riad</w:t>
      </w:r>
      <w:proofErr w:type="spellEnd"/>
      <w:r>
        <w:rPr>
          <w:rFonts w:asciiTheme="majorBidi" w:hAnsiTheme="majorBidi" w:cstheme="majorBidi"/>
          <w:sz w:val="24"/>
          <w:szCs w:val="24"/>
        </w:rPr>
        <w:t xml:space="preserve"> el </w:t>
      </w:r>
      <w:proofErr w:type="spellStart"/>
      <w:r>
        <w:rPr>
          <w:rFonts w:asciiTheme="majorBidi" w:hAnsiTheme="majorBidi" w:cstheme="majorBidi"/>
          <w:sz w:val="24"/>
          <w:szCs w:val="24"/>
        </w:rPr>
        <w:t>Solh</w:t>
      </w:r>
      <w:proofErr w:type="spellEnd"/>
      <w:r>
        <w:rPr>
          <w:rFonts w:asciiTheme="majorBidi" w:hAnsiTheme="majorBidi" w:cstheme="majorBidi"/>
          <w:sz w:val="24"/>
          <w:szCs w:val="24"/>
        </w:rPr>
        <w:t>, Beirut 1107 2180, Lebanon</w:t>
      </w:r>
    </w:p>
    <w:p w:rsidR="00981A3B" w:rsidRDefault="00981A3B" w:rsidP="00981A3B">
      <w:pPr>
        <w:spacing w:line="480" w:lineRule="auto"/>
        <w:jc w:val="center"/>
        <w:rPr>
          <w:rFonts w:asciiTheme="majorBidi" w:hAnsiTheme="majorBidi" w:cstheme="majorBidi"/>
          <w:sz w:val="24"/>
          <w:szCs w:val="24"/>
        </w:rPr>
      </w:pPr>
      <w:r>
        <w:rPr>
          <w:rFonts w:asciiTheme="majorBidi" w:hAnsiTheme="majorBidi" w:cstheme="majorBidi"/>
          <w:sz w:val="24"/>
          <w:szCs w:val="24"/>
          <w:vertAlign w:val="superscript"/>
        </w:rPr>
        <w:t>4</w:t>
      </w:r>
      <w:r>
        <w:rPr>
          <w:rFonts w:asciiTheme="majorBidi" w:hAnsiTheme="majorBidi" w:cstheme="majorBidi"/>
          <w:sz w:val="24"/>
          <w:szCs w:val="24"/>
        </w:rPr>
        <w:t>Surgery Department, Faculty of Medicine, Saint-Joseph University and Hotel-</w:t>
      </w:r>
      <w:proofErr w:type="spellStart"/>
      <w:r>
        <w:rPr>
          <w:rFonts w:asciiTheme="majorBidi" w:hAnsiTheme="majorBidi" w:cstheme="majorBidi"/>
          <w:sz w:val="24"/>
          <w:szCs w:val="24"/>
        </w:rPr>
        <w:t>Dieu</w:t>
      </w:r>
      <w:proofErr w:type="spellEnd"/>
      <w:r>
        <w:rPr>
          <w:rFonts w:asciiTheme="majorBidi" w:hAnsiTheme="majorBidi" w:cstheme="majorBidi"/>
          <w:sz w:val="24"/>
          <w:szCs w:val="24"/>
        </w:rPr>
        <w:t xml:space="preserve"> de France, </w:t>
      </w:r>
      <w:proofErr w:type="spellStart"/>
      <w:r>
        <w:rPr>
          <w:rFonts w:asciiTheme="majorBidi" w:hAnsiTheme="majorBidi" w:cstheme="majorBidi"/>
          <w:sz w:val="24"/>
          <w:szCs w:val="24"/>
        </w:rPr>
        <w:t>P.</w:t>
      </w:r>
      <w:proofErr w:type="gramStart"/>
      <w:r>
        <w:rPr>
          <w:rFonts w:asciiTheme="majorBidi" w:hAnsiTheme="majorBidi" w:cstheme="majorBidi"/>
          <w:sz w:val="24"/>
          <w:szCs w:val="24"/>
        </w:rPr>
        <w:t>O.Box</w:t>
      </w:r>
      <w:proofErr w:type="spellEnd"/>
      <w:proofErr w:type="gramEnd"/>
      <w:r>
        <w:rPr>
          <w:rFonts w:asciiTheme="majorBidi" w:hAnsiTheme="majorBidi" w:cstheme="majorBidi"/>
          <w:sz w:val="24"/>
          <w:szCs w:val="24"/>
        </w:rPr>
        <w:t xml:space="preserve"> 11-5076, </w:t>
      </w:r>
      <w:proofErr w:type="spellStart"/>
      <w:r>
        <w:rPr>
          <w:rFonts w:asciiTheme="majorBidi" w:hAnsiTheme="majorBidi" w:cstheme="majorBidi"/>
          <w:sz w:val="24"/>
          <w:szCs w:val="24"/>
        </w:rPr>
        <w:t>Riad</w:t>
      </w:r>
      <w:proofErr w:type="spellEnd"/>
      <w:r>
        <w:rPr>
          <w:rFonts w:asciiTheme="majorBidi" w:hAnsiTheme="majorBidi" w:cstheme="majorBidi"/>
          <w:sz w:val="24"/>
          <w:szCs w:val="24"/>
        </w:rPr>
        <w:t xml:space="preserve"> el </w:t>
      </w:r>
      <w:proofErr w:type="spellStart"/>
      <w:r>
        <w:rPr>
          <w:rFonts w:asciiTheme="majorBidi" w:hAnsiTheme="majorBidi" w:cstheme="majorBidi"/>
          <w:sz w:val="24"/>
          <w:szCs w:val="24"/>
        </w:rPr>
        <w:t>Solh</w:t>
      </w:r>
      <w:proofErr w:type="spellEnd"/>
      <w:r>
        <w:rPr>
          <w:rFonts w:asciiTheme="majorBidi" w:hAnsiTheme="majorBidi" w:cstheme="majorBidi"/>
          <w:sz w:val="24"/>
          <w:szCs w:val="24"/>
        </w:rPr>
        <w:t>, Beirut 1107 2180, Beirut, Lebanon</w:t>
      </w:r>
    </w:p>
    <w:p w:rsidR="00981A3B" w:rsidRDefault="00981A3B" w:rsidP="00981A3B">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Address correspondence to Nada </w:t>
      </w:r>
      <w:proofErr w:type="spellStart"/>
      <w:r>
        <w:rPr>
          <w:rFonts w:asciiTheme="majorBidi" w:hAnsiTheme="majorBidi" w:cstheme="majorBidi"/>
          <w:sz w:val="24"/>
          <w:szCs w:val="24"/>
        </w:rPr>
        <w:t>Alaaeddine</w:t>
      </w:r>
      <w:proofErr w:type="spellEnd"/>
      <w:r>
        <w:rPr>
          <w:rFonts w:asciiTheme="majorBidi" w:hAnsiTheme="majorBidi" w:cstheme="majorBidi"/>
          <w:sz w:val="24"/>
          <w:szCs w:val="24"/>
        </w:rPr>
        <w:t>. Tel 961-3-957987; Fax 961-1-421023</w:t>
      </w:r>
    </w:p>
    <w:p w:rsidR="00981A3B" w:rsidRDefault="00981A3B" w:rsidP="00981A3B">
      <w:pPr>
        <w:spacing w:line="480" w:lineRule="auto"/>
        <w:jc w:val="both"/>
        <w:outlineLvl w:val="0"/>
        <w:rPr>
          <w:rFonts w:asciiTheme="majorBidi" w:hAnsiTheme="majorBidi" w:cstheme="majorBidi"/>
          <w:sz w:val="24"/>
          <w:szCs w:val="24"/>
        </w:rPr>
      </w:pPr>
      <w:r>
        <w:rPr>
          <w:rFonts w:asciiTheme="majorBidi" w:hAnsiTheme="majorBidi" w:cstheme="majorBidi"/>
          <w:sz w:val="24"/>
          <w:szCs w:val="24"/>
        </w:rPr>
        <w:tab/>
        <w:t>E-mail: nada.aladdin@gmail.com</w:t>
      </w:r>
    </w:p>
    <w:p w:rsidR="00981A3B" w:rsidRDefault="00981A3B" w:rsidP="00981A3B">
      <w:pPr>
        <w:spacing w:line="480" w:lineRule="auto"/>
        <w:rPr>
          <w:rFonts w:asciiTheme="majorBidi" w:hAnsiTheme="majorBidi" w:cstheme="majorBidi"/>
          <w:sz w:val="24"/>
          <w:szCs w:val="24"/>
        </w:rPr>
      </w:pPr>
      <w:r>
        <w:rPr>
          <w:rFonts w:asciiTheme="majorBidi" w:hAnsiTheme="majorBidi" w:cstheme="majorBidi"/>
          <w:sz w:val="24"/>
          <w:szCs w:val="24"/>
        </w:rPr>
        <w:t>Short running title: Mesenchymal stem cells and hepatocellular cancer</w:t>
      </w:r>
    </w:p>
    <w:p w:rsidR="00981A3B" w:rsidRDefault="00981A3B" w:rsidP="00981A3B">
      <w:pPr>
        <w:spacing w:line="480" w:lineRule="auto"/>
        <w:rPr>
          <w:rFonts w:asciiTheme="majorBidi" w:hAnsiTheme="majorBidi" w:cstheme="majorBidi"/>
          <w:b/>
          <w:bCs/>
          <w:sz w:val="24"/>
          <w:szCs w:val="24"/>
        </w:rPr>
      </w:pPr>
    </w:p>
    <w:p w:rsidR="00981A3B" w:rsidRDefault="00981A3B" w:rsidP="00981A3B">
      <w:pPr>
        <w:spacing w:line="480" w:lineRule="auto"/>
        <w:rPr>
          <w:rFonts w:asciiTheme="majorBidi" w:hAnsiTheme="majorBidi" w:cstheme="majorBidi"/>
          <w:b/>
          <w:bCs/>
          <w:sz w:val="24"/>
          <w:szCs w:val="24"/>
        </w:rPr>
      </w:pPr>
    </w:p>
    <w:p w:rsidR="00981A3B" w:rsidRDefault="00981A3B" w:rsidP="00981A3B">
      <w:pPr>
        <w:spacing w:line="480" w:lineRule="auto"/>
        <w:rPr>
          <w:rFonts w:asciiTheme="majorBidi" w:hAnsiTheme="majorBidi" w:cstheme="majorBidi"/>
          <w:b/>
          <w:bCs/>
          <w:sz w:val="24"/>
          <w:szCs w:val="24"/>
        </w:rPr>
      </w:pPr>
    </w:p>
    <w:p w:rsidR="00981A3B" w:rsidRDefault="00981A3B" w:rsidP="00981A3B">
      <w:pPr>
        <w:spacing w:line="480" w:lineRule="auto"/>
        <w:rPr>
          <w:rFonts w:asciiTheme="majorBidi" w:hAnsiTheme="majorBidi" w:cstheme="majorBidi"/>
          <w:b/>
          <w:bCs/>
          <w:sz w:val="24"/>
          <w:szCs w:val="24"/>
        </w:rPr>
      </w:pPr>
    </w:p>
    <w:p w:rsidR="00981A3B" w:rsidRDefault="00981A3B" w:rsidP="00981A3B">
      <w:pPr>
        <w:spacing w:line="480" w:lineRule="auto"/>
        <w:rPr>
          <w:rFonts w:asciiTheme="majorBidi" w:hAnsiTheme="majorBidi" w:cstheme="majorBidi"/>
          <w:b/>
          <w:bCs/>
          <w:sz w:val="24"/>
          <w:szCs w:val="24"/>
        </w:rPr>
      </w:pPr>
      <w:bookmarkStart w:id="0" w:name="_GoBack"/>
      <w:bookmarkEnd w:id="0"/>
      <w:r>
        <w:rPr>
          <w:rFonts w:asciiTheme="majorBidi" w:hAnsiTheme="majorBidi" w:cstheme="majorBidi"/>
          <w:b/>
          <w:bCs/>
          <w:sz w:val="24"/>
          <w:szCs w:val="24"/>
        </w:rPr>
        <w:lastRenderedPageBreak/>
        <w:t>Abstract</w:t>
      </w:r>
    </w:p>
    <w:p w:rsidR="00981A3B" w:rsidRDefault="00981A3B" w:rsidP="00981A3B">
      <w:pPr>
        <w:spacing w:line="480" w:lineRule="auto"/>
        <w:jc w:val="both"/>
        <w:rPr>
          <w:rFonts w:asciiTheme="majorBidi" w:hAnsiTheme="majorBidi" w:cstheme="majorBidi"/>
          <w:sz w:val="24"/>
          <w:szCs w:val="24"/>
        </w:rPr>
      </w:pPr>
      <w:r>
        <w:rPr>
          <w:rFonts w:asciiTheme="majorBidi" w:hAnsiTheme="majorBidi" w:cstheme="majorBidi"/>
          <w:sz w:val="24"/>
          <w:szCs w:val="24"/>
        </w:rPr>
        <w:t>Background: Hepatocellular carcinoma (HCC) is a malignant, deadly disease with higher incidence and no effective treatment. Adipose derived stem cells (ADMSCs) have been shown to exhibit therapeutic efficacy in many diseases; however, their therapeutic effect on cancer is not clear and controversial. In this study, we investigated the effect of ADMSCs and their conditioned media (CM) on biological responses of HCC cell lines, HepG2 and PLC-PRF-5 cells.</w:t>
      </w:r>
    </w:p>
    <w:p w:rsidR="00981A3B" w:rsidRDefault="00981A3B" w:rsidP="00981A3B">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Methods: Proliferation rate of cancer cells was measured using cell counting kit-8. Apoptosis level was determined by flow cytometry. Protein and mRNA expressions were measured by ELISA and real time PCR respectively. Migration and invasion rates were detected by </w:t>
      </w:r>
      <w:proofErr w:type="spellStart"/>
      <w:r>
        <w:rPr>
          <w:rFonts w:asciiTheme="majorBidi" w:hAnsiTheme="majorBidi" w:cstheme="majorBidi"/>
          <w:sz w:val="24"/>
          <w:szCs w:val="24"/>
        </w:rPr>
        <w:t>transwell</w:t>
      </w:r>
      <w:proofErr w:type="spellEnd"/>
      <w:r>
        <w:rPr>
          <w:rFonts w:asciiTheme="majorBidi" w:hAnsiTheme="majorBidi" w:cstheme="majorBidi"/>
          <w:sz w:val="24"/>
          <w:szCs w:val="24"/>
        </w:rPr>
        <w:t xml:space="preserve"> migration and invasion assay.</w:t>
      </w:r>
    </w:p>
    <w:p w:rsidR="00981A3B" w:rsidRDefault="00981A3B" w:rsidP="00981A3B">
      <w:pPr>
        <w:spacing w:line="480" w:lineRule="auto"/>
        <w:jc w:val="both"/>
        <w:rPr>
          <w:rFonts w:asciiTheme="majorBidi" w:hAnsiTheme="majorBidi" w:cstheme="majorBidi"/>
          <w:b/>
          <w:bCs/>
          <w:sz w:val="24"/>
          <w:szCs w:val="24"/>
        </w:rPr>
      </w:pPr>
      <w:r>
        <w:rPr>
          <w:rFonts w:asciiTheme="majorBidi" w:hAnsiTheme="majorBidi" w:cstheme="majorBidi"/>
          <w:sz w:val="24"/>
          <w:szCs w:val="24"/>
        </w:rPr>
        <w:t>Results: Our data demonstrated that ADMSCs and their CM significantly inhibited the proliferation and increased the apoptosis of HepG2 and PLC-PRF-5 cells, along with an upregulation of the P53/Retinoblastoma mRNA and a downregulation of c-</w:t>
      </w:r>
      <w:proofErr w:type="spellStart"/>
      <w:r>
        <w:rPr>
          <w:rFonts w:asciiTheme="majorBidi" w:hAnsiTheme="majorBidi" w:cstheme="majorBidi"/>
          <w:sz w:val="24"/>
          <w:szCs w:val="24"/>
        </w:rPr>
        <w:t>Myc</w:t>
      </w:r>
      <w:proofErr w:type="spellEnd"/>
      <w:r>
        <w:rPr>
          <w:rFonts w:asciiTheme="majorBidi" w:hAnsiTheme="majorBidi" w:cstheme="majorBidi"/>
          <w:sz w:val="24"/>
          <w:szCs w:val="24"/>
        </w:rPr>
        <w:t>/</w:t>
      </w:r>
      <w:proofErr w:type="spellStart"/>
      <w:r>
        <w:rPr>
          <w:rFonts w:asciiTheme="majorBidi" w:hAnsiTheme="majorBidi" w:cstheme="majorBidi"/>
          <w:sz w:val="24"/>
          <w:szCs w:val="24"/>
        </w:rPr>
        <w:t>hTERT</w:t>
      </w:r>
      <w:proofErr w:type="spellEnd"/>
      <w:r>
        <w:rPr>
          <w:rFonts w:asciiTheme="majorBidi" w:hAnsiTheme="majorBidi" w:cstheme="majorBidi"/>
          <w:sz w:val="24"/>
          <w:szCs w:val="24"/>
        </w:rPr>
        <w:t>. Co-culturing HCC cell lines with ADMSCs or treating them with ADMSCs CM also suppressed the expression of alpha-fetoprotein and Des-γ-</w:t>
      </w:r>
      <w:proofErr w:type="spellStart"/>
      <w:r>
        <w:rPr>
          <w:rFonts w:asciiTheme="majorBidi" w:hAnsiTheme="majorBidi" w:cstheme="majorBidi"/>
          <w:sz w:val="24"/>
          <w:szCs w:val="24"/>
        </w:rPr>
        <w:t>carboxyprothrombin</w:t>
      </w:r>
      <w:proofErr w:type="spellEnd"/>
      <w:r>
        <w:rPr>
          <w:rFonts w:asciiTheme="majorBidi" w:hAnsiTheme="majorBidi" w:cstheme="majorBidi"/>
          <w:sz w:val="24"/>
          <w:szCs w:val="24"/>
        </w:rPr>
        <w:t xml:space="preserve">, two important markers of carcinogenicity in HCC. In addition, ADMSCs and ADMSCs CM diminished migration and invasion levels of the HepG2 and PLC-PRF-5 cells, possibly through increased expression of the tissue inhibitor </w:t>
      </w:r>
      <w:proofErr w:type="spellStart"/>
      <w:r>
        <w:rPr>
          <w:rFonts w:asciiTheme="majorBidi" w:hAnsiTheme="majorBidi" w:cstheme="majorBidi"/>
          <w:sz w:val="24"/>
          <w:szCs w:val="24"/>
        </w:rPr>
        <w:t>metalloproteinases</w:t>
      </w:r>
      <w:proofErr w:type="spellEnd"/>
      <w:r>
        <w:rPr>
          <w:rFonts w:asciiTheme="majorBidi" w:hAnsiTheme="majorBidi" w:cstheme="majorBidi"/>
          <w:sz w:val="24"/>
          <w:szCs w:val="24"/>
        </w:rPr>
        <w:t xml:space="preserve"> TIMP-1, TIMP-2 and TIMP-3.</w:t>
      </w:r>
    </w:p>
    <w:p w:rsidR="00981A3B" w:rsidRDefault="00981A3B" w:rsidP="00981A3B">
      <w:pPr>
        <w:spacing w:line="480" w:lineRule="auto"/>
        <w:jc w:val="both"/>
        <w:rPr>
          <w:rFonts w:asciiTheme="majorBidi" w:hAnsiTheme="majorBidi" w:cstheme="majorBidi"/>
          <w:sz w:val="24"/>
          <w:szCs w:val="24"/>
        </w:rPr>
      </w:pPr>
      <w:r>
        <w:rPr>
          <w:rFonts w:asciiTheme="majorBidi" w:hAnsiTheme="majorBidi" w:cstheme="majorBidi"/>
          <w:sz w:val="24"/>
          <w:szCs w:val="24"/>
        </w:rPr>
        <w:t>Conclusion: These findings shed a new light on a protective role for ADMSCs and their CM in controlling the invasiveness and carcinogenesis of HCC, and might be a new pathway to investigate in the treatment of this disease.</w:t>
      </w:r>
    </w:p>
    <w:p w:rsidR="00273AF9" w:rsidRDefault="00273AF9"/>
    <w:sectPr w:rsidR="00273A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A3B"/>
    <w:rsid w:val="00273AF9"/>
    <w:rsid w:val="00981A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2999A"/>
  <w15:chartTrackingRefBased/>
  <w15:docId w15:val="{0C9AE2FA-31D5-4331-AF17-74105DD9F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A3B"/>
    <w:pPr>
      <w:spacing w:after="200" w:line="27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56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415</Words>
  <Characters>2368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2018-02-27T09:08:00Z</dcterms:created>
  <dcterms:modified xsi:type="dcterms:W3CDTF">2018-02-27T09:14:00Z</dcterms:modified>
</cp:coreProperties>
</file>