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169AF" w14:textId="77777777" w:rsidR="00D1769D" w:rsidRPr="005B7D07" w:rsidRDefault="00B3082B" w:rsidP="004D096E">
      <w:pPr>
        <w:spacing w:after="0" w:line="240" w:lineRule="auto"/>
        <w:rPr>
          <w:b/>
          <w:iCs/>
          <w:color w:val="333333"/>
          <w:shd w:val="clear" w:color="auto" w:fill="FFFFFF"/>
        </w:rPr>
      </w:pPr>
      <w:r>
        <w:rPr>
          <w:rFonts w:ascii="Times New Roman" w:hAnsi="Times New Roman" w:cs="Times New Roman"/>
          <w:b/>
          <w:sz w:val="24"/>
          <w:szCs w:val="24"/>
        </w:rPr>
        <w:t xml:space="preserve">Abstract Title: </w:t>
      </w:r>
      <w:r w:rsidR="00D1769D">
        <w:rPr>
          <w:b/>
          <w:iCs/>
          <w:color w:val="333333"/>
          <w:shd w:val="clear" w:color="auto" w:fill="FFFFFF"/>
        </w:rPr>
        <w:t>Minimally invasive and endoscopic methods of treatment of postnecrotic pseudocysts of pancreas</w:t>
      </w:r>
    </w:p>
    <w:p w14:paraId="5BD04C6B" w14:textId="77777777" w:rsidR="00D1769D" w:rsidRDefault="00D1769D" w:rsidP="004D096E">
      <w:pPr>
        <w:spacing w:after="0" w:line="240" w:lineRule="auto"/>
        <w:rPr>
          <w:iCs/>
          <w:color w:val="333333"/>
          <w:shd w:val="clear" w:color="auto" w:fill="FFFFFF"/>
        </w:rPr>
      </w:pPr>
      <w:r>
        <w:rPr>
          <w:b/>
          <w:iCs/>
          <w:color w:val="333333"/>
          <w:shd w:val="clear" w:color="auto" w:fill="FFFFFF"/>
        </w:rPr>
        <w:t>Author n</w:t>
      </w:r>
      <w:r w:rsidRPr="003D2D55">
        <w:rPr>
          <w:b/>
          <w:iCs/>
          <w:color w:val="333333"/>
          <w:shd w:val="clear" w:color="auto" w:fill="FFFFFF"/>
        </w:rPr>
        <w:t>ame</w:t>
      </w:r>
      <w:r w:rsidRPr="005B7D07">
        <w:rPr>
          <w:iCs/>
          <w:color w:val="333333"/>
          <w:shd w:val="clear" w:color="auto" w:fill="FFFFFF"/>
        </w:rPr>
        <w:t xml:space="preserve">: </w:t>
      </w:r>
      <w:r>
        <w:t>Nazar Omelchuk</w:t>
      </w:r>
    </w:p>
    <w:p w14:paraId="611089CC" w14:textId="77777777" w:rsidR="00D1769D" w:rsidRPr="00D1769D" w:rsidRDefault="00D1769D" w:rsidP="004D096E">
      <w:pPr>
        <w:spacing w:after="0" w:line="240" w:lineRule="auto"/>
        <w:rPr>
          <w:iCs/>
          <w:color w:val="333333"/>
          <w:shd w:val="clear" w:color="auto" w:fill="FFFFFF"/>
        </w:rPr>
      </w:pPr>
      <w:r w:rsidRPr="003D2D55">
        <w:rPr>
          <w:b/>
          <w:iCs/>
          <w:color w:val="333333"/>
          <w:shd w:val="clear" w:color="auto" w:fill="FFFFFF"/>
        </w:rPr>
        <w:t>Affiliation</w:t>
      </w:r>
      <w:r w:rsidRPr="005B7D07">
        <w:rPr>
          <w:iCs/>
          <w:color w:val="333333"/>
          <w:shd w:val="clear" w:color="auto" w:fill="FFFFFF"/>
        </w:rPr>
        <w:t xml:space="preserve">: </w:t>
      </w:r>
      <w:r>
        <w:rPr>
          <w:i/>
          <w:iCs/>
          <w:color w:val="333333"/>
          <w:shd w:val="clear" w:color="auto" w:fill="FFFFFF"/>
        </w:rPr>
        <w:t>Ivano-Frankivsk national medical university, Ukraine</w:t>
      </w:r>
    </w:p>
    <w:p w14:paraId="52834AA6" w14:textId="77777777" w:rsidR="004D096E" w:rsidRDefault="004D096E" w:rsidP="004D096E">
      <w:pPr>
        <w:spacing w:after="0" w:line="240" w:lineRule="auto"/>
        <w:jc w:val="both"/>
        <w:outlineLvl w:val="2"/>
        <w:rPr>
          <w:rFonts w:ascii="Arial" w:eastAsia="Arial" w:hAnsi="Arial" w:cs="Arial"/>
          <w:b/>
          <w:bCs/>
          <w:color w:val="000000" w:themeColor="text1"/>
          <w:sz w:val="20"/>
          <w:szCs w:val="20"/>
        </w:rPr>
      </w:pPr>
    </w:p>
    <w:p w14:paraId="11D39F98" w14:textId="77777777" w:rsidR="00D1769D" w:rsidRPr="009D1080" w:rsidRDefault="00D1769D" w:rsidP="004D096E">
      <w:pPr>
        <w:spacing w:after="0" w:line="240" w:lineRule="auto"/>
        <w:jc w:val="both"/>
        <w:outlineLvl w:val="2"/>
        <w:rPr>
          <w:rFonts w:ascii="Arial" w:eastAsia="Arial" w:hAnsi="Arial" w:cs="Arial"/>
          <w:b/>
          <w:bCs/>
          <w:color w:val="000000" w:themeColor="text1"/>
          <w:sz w:val="20"/>
          <w:szCs w:val="20"/>
        </w:rPr>
      </w:pPr>
      <w:r w:rsidRPr="009D1080">
        <w:rPr>
          <w:rFonts w:ascii="Arial" w:eastAsia="Arial" w:hAnsi="Arial" w:cs="Arial"/>
          <w:b/>
          <w:bCs/>
          <w:color w:val="000000" w:themeColor="text1"/>
          <w:sz w:val="20"/>
          <w:szCs w:val="20"/>
        </w:rPr>
        <w:t>Abstract</w:t>
      </w:r>
    </w:p>
    <w:p w14:paraId="7E9E4329" w14:textId="77777777" w:rsidR="00D1769D" w:rsidRPr="009D1080" w:rsidRDefault="00D1769D" w:rsidP="004D096E">
      <w:pPr>
        <w:overflowPunct w:val="0"/>
        <w:autoSpaceDE w:val="0"/>
        <w:autoSpaceDN w:val="0"/>
        <w:adjustRightInd w:val="0"/>
        <w:spacing w:after="0" w:line="240" w:lineRule="auto"/>
        <w:ind w:right="160"/>
        <w:rPr>
          <w:rFonts w:eastAsia="Times New Roman"/>
          <w:sz w:val="18"/>
          <w:szCs w:val="18"/>
          <w:lang w:eastAsia="ru-RU"/>
        </w:rPr>
      </w:pPr>
      <w:r w:rsidRPr="009D1080">
        <w:rPr>
          <w:rFonts w:eastAsia="Times New Roman"/>
          <w:b/>
          <w:bCs/>
          <w:sz w:val="18"/>
          <w:szCs w:val="18"/>
          <w:lang w:eastAsia="ru-RU"/>
        </w:rPr>
        <w:t>STATEMENT OF THE PROBLEM</w:t>
      </w:r>
      <w:r w:rsidRPr="009D1080">
        <w:rPr>
          <w:rFonts w:eastAsia="Times New Roman"/>
          <w:sz w:val="18"/>
          <w:szCs w:val="18"/>
          <w:lang w:eastAsia="ru-RU"/>
        </w:rPr>
        <w:t>: Acute necrotic pancreatitis (ANP) remains complicated</w:t>
      </w:r>
      <w:r w:rsidRPr="009D1080">
        <w:rPr>
          <w:rFonts w:eastAsia="Times New Roman"/>
          <w:b/>
          <w:bCs/>
          <w:sz w:val="18"/>
          <w:szCs w:val="18"/>
          <w:lang w:eastAsia="ru-RU"/>
        </w:rPr>
        <w:t xml:space="preserve"> </w:t>
      </w:r>
      <w:r w:rsidRPr="009D1080">
        <w:rPr>
          <w:rFonts w:eastAsia="Times New Roman"/>
          <w:sz w:val="18"/>
          <w:szCs w:val="18"/>
          <w:lang w:eastAsia="ru-RU"/>
        </w:rPr>
        <w:t>problem of urgent surgery because of high frequency of systemic, purulent and septic complications, mortality rate, which is in patients with infected pancreonecrosis 14,7</w:t>
      </w:r>
      <w:r>
        <w:rPr>
          <w:rFonts w:eastAsia="Times New Roman"/>
          <w:sz w:val="18"/>
          <w:szCs w:val="18"/>
          <w:lang w:eastAsia="ru-RU"/>
        </w:rPr>
        <w:t xml:space="preserve"> </w:t>
      </w:r>
      <w:r w:rsidRPr="009D1080">
        <w:rPr>
          <w:rFonts w:eastAsia="Times New Roman"/>
          <w:bCs/>
          <w:sz w:val="18"/>
          <w:szCs w:val="18"/>
          <w:lang w:eastAsia="ru-RU"/>
        </w:rPr>
        <w:t>–</w:t>
      </w:r>
      <w:r>
        <w:rPr>
          <w:rFonts w:eastAsia="Times New Roman"/>
          <w:bCs/>
          <w:sz w:val="18"/>
          <w:szCs w:val="18"/>
          <w:lang w:eastAsia="ru-RU"/>
        </w:rPr>
        <w:t xml:space="preserve"> </w:t>
      </w:r>
      <w:r w:rsidRPr="009D1080">
        <w:rPr>
          <w:rFonts w:eastAsia="Times New Roman"/>
          <w:sz w:val="18"/>
          <w:szCs w:val="18"/>
          <w:lang w:eastAsia="ru-RU"/>
        </w:rPr>
        <w:t>26,4 %.</w:t>
      </w:r>
    </w:p>
    <w:p w14:paraId="18837DE6" w14:textId="77777777" w:rsidR="00D1769D" w:rsidRPr="009D1080" w:rsidRDefault="00D1769D" w:rsidP="004D096E">
      <w:pPr>
        <w:overflowPunct w:val="0"/>
        <w:autoSpaceDE w:val="0"/>
        <w:autoSpaceDN w:val="0"/>
        <w:adjustRightInd w:val="0"/>
        <w:spacing w:after="0" w:line="240" w:lineRule="auto"/>
        <w:ind w:right="320"/>
        <w:rPr>
          <w:rFonts w:eastAsia="Times New Roman"/>
          <w:sz w:val="18"/>
          <w:szCs w:val="18"/>
          <w:lang w:eastAsia="ru-RU"/>
        </w:rPr>
      </w:pPr>
      <w:r w:rsidRPr="009D1080">
        <w:rPr>
          <w:rFonts w:eastAsia="Times New Roman"/>
          <w:b/>
          <w:bCs/>
          <w:sz w:val="18"/>
          <w:szCs w:val="18"/>
          <w:lang w:eastAsia="ru-RU"/>
        </w:rPr>
        <w:t>THE PURPOSE</w:t>
      </w:r>
      <w:r w:rsidRPr="009D1080">
        <w:rPr>
          <w:rFonts w:eastAsia="Times New Roman"/>
          <w:sz w:val="18"/>
          <w:szCs w:val="18"/>
          <w:lang w:eastAsia="ru-RU"/>
        </w:rPr>
        <w:t>: The purpose of this study is to evaluate efficiency and establish indications</w:t>
      </w:r>
      <w:r w:rsidRPr="009D1080">
        <w:rPr>
          <w:rFonts w:eastAsia="Times New Roman"/>
          <w:b/>
          <w:bCs/>
          <w:sz w:val="18"/>
          <w:szCs w:val="18"/>
          <w:lang w:eastAsia="ru-RU"/>
        </w:rPr>
        <w:t xml:space="preserve"> </w:t>
      </w:r>
      <w:r w:rsidRPr="009D1080">
        <w:rPr>
          <w:rFonts w:eastAsia="Times New Roman"/>
          <w:sz w:val="18"/>
          <w:szCs w:val="18"/>
          <w:lang w:eastAsia="ru-RU"/>
        </w:rPr>
        <w:t>for minimally invasive methods of treatment of postnecrotic pseudocysts of pancreas.</w:t>
      </w:r>
    </w:p>
    <w:p w14:paraId="078199BB" w14:textId="77777777" w:rsidR="00D1769D" w:rsidRPr="009D1080" w:rsidRDefault="00D1769D" w:rsidP="004D096E">
      <w:pPr>
        <w:autoSpaceDE w:val="0"/>
        <w:autoSpaceDN w:val="0"/>
        <w:adjustRightInd w:val="0"/>
        <w:spacing w:after="0" w:line="240" w:lineRule="auto"/>
        <w:rPr>
          <w:rFonts w:eastAsia="Times New Roman"/>
          <w:sz w:val="18"/>
          <w:szCs w:val="18"/>
          <w:lang w:eastAsia="ru-RU"/>
        </w:rPr>
      </w:pPr>
      <w:r w:rsidRPr="009D1080">
        <w:rPr>
          <w:rFonts w:eastAsia="Times New Roman"/>
          <w:b/>
          <w:bCs/>
          <w:sz w:val="18"/>
          <w:szCs w:val="18"/>
          <w:lang w:eastAsia="ru-RU"/>
        </w:rPr>
        <w:t>METHODOLOGY AND THEORETICAL ORIENTATION</w:t>
      </w:r>
      <w:r w:rsidRPr="009D1080">
        <w:rPr>
          <w:rFonts w:eastAsia="Times New Roman"/>
          <w:sz w:val="18"/>
          <w:szCs w:val="18"/>
          <w:lang w:eastAsia="ru-RU"/>
        </w:rPr>
        <w:t xml:space="preserve">: For diagnostics were used ultrasonography, diagnostic laparoscopy, helical CT with contrast strengthening. Endoscopic </w:t>
      </w:r>
      <w:r w:rsidRPr="009D1080">
        <w:rPr>
          <w:rFonts w:eastAsia="Times New Roman"/>
          <w:bCs/>
          <w:sz w:val="18"/>
          <w:szCs w:val="18"/>
          <w:lang w:eastAsia="ru-RU"/>
        </w:rPr>
        <w:t>interventions were applied by duodenoscopes “Olympus” under control of X</w:t>
      </w:r>
      <w:r w:rsidRPr="009D1080">
        <w:rPr>
          <w:rFonts w:eastAsia="Times New Roman"/>
          <w:sz w:val="18"/>
          <w:szCs w:val="18"/>
          <w:lang w:eastAsia="ru-RU"/>
        </w:rPr>
        <w:t>-ray machine</w:t>
      </w:r>
      <w:r>
        <w:rPr>
          <w:rFonts w:eastAsia="Times New Roman"/>
          <w:sz w:val="18"/>
          <w:szCs w:val="18"/>
          <w:lang w:eastAsia="ru-RU"/>
        </w:rPr>
        <w:t xml:space="preserve"> </w:t>
      </w:r>
      <w:r w:rsidRPr="009D1080">
        <w:rPr>
          <w:rFonts w:eastAsia="Times New Roman"/>
          <w:bCs/>
          <w:sz w:val="18"/>
          <w:szCs w:val="18"/>
          <w:lang w:eastAsia="ru-RU"/>
        </w:rPr>
        <w:t xml:space="preserve">“Siemens BV 300”. Cystodigestive fistulas were created by prickly papilotoms. For providing of </w:t>
      </w:r>
      <w:r w:rsidRPr="009D1080">
        <w:rPr>
          <w:rFonts w:eastAsia="Times New Roman"/>
          <w:sz w:val="18"/>
          <w:szCs w:val="18"/>
          <w:lang w:eastAsia="ru-RU"/>
        </w:rPr>
        <w:t>long passabili</w:t>
      </w:r>
      <w:r w:rsidRPr="009D1080">
        <w:rPr>
          <w:rFonts w:eastAsia="Times New Roman"/>
          <w:bCs/>
          <w:sz w:val="18"/>
          <w:szCs w:val="18"/>
          <w:lang w:eastAsia="ru-RU"/>
        </w:rPr>
        <w:t>ty of cystodigestive fistula were used two endoprostheses like “pig tail” sized 10 Fr</w:t>
      </w:r>
      <w:r w:rsidRPr="009D1080">
        <w:rPr>
          <w:rFonts w:eastAsia="Times New Roman"/>
          <w:sz w:val="18"/>
          <w:szCs w:val="18"/>
          <w:lang w:eastAsia="ru-RU"/>
        </w:rPr>
        <w:t xml:space="preserve"> with length 5</w:t>
      </w:r>
      <w:r>
        <w:rPr>
          <w:rFonts w:eastAsia="Times New Roman"/>
          <w:sz w:val="18"/>
          <w:szCs w:val="18"/>
          <w:lang w:eastAsia="ru-RU"/>
        </w:rPr>
        <w:t xml:space="preserve"> </w:t>
      </w:r>
      <w:r w:rsidRPr="009D1080">
        <w:rPr>
          <w:rFonts w:eastAsia="Times New Roman"/>
          <w:bCs/>
          <w:sz w:val="18"/>
          <w:szCs w:val="18"/>
          <w:lang w:eastAsia="ru-RU"/>
        </w:rPr>
        <w:t>–</w:t>
      </w:r>
      <w:r>
        <w:rPr>
          <w:rFonts w:eastAsia="Times New Roman"/>
          <w:bCs/>
          <w:sz w:val="18"/>
          <w:szCs w:val="18"/>
          <w:lang w:eastAsia="ru-RU"/>
        </w:rPr>
        <w:t xml:space="preserve"> </w:t>
      </w:r>
      <w:r w:rsidRPr="009D1080">
        <w:rPr>
          <w:rFonts w:eastAsia="Times New Roman"/>
          <w:bCs/>
          <w:sz w:val="18"/>
          <w:szCs w:val="18"/>
          <w:lang w:eastAsia="ru-RU"/>
        </w:rPr>
        <w:t>6 sm. For transpapillary drainage were used pancreatic endoprostheses like “pig</w:t>
      </w:r>
      <w:r w:rsidRPr="009D1080">
        <w:rPr>
          <w:rFonts w:eastAsia="Times New Roman"/>
          <w:sz w:val="18"/>
          <w:szCs w:val="18"/>
          <w:lang w:eastAsia="ru-RU"/>
        </w:rPr>
        <w:t xml:space="preserve"> </w:t>
      </w:r>
      <w:r w:rsidRPr="009D1080">
        <w:rPr>
          <w:rFonts w:eastAsia="Times New Roman"/>
          <w:bCs/>
          <w:sz w:val="18"/>
          <w:szCs w:val="18"/>
          <w:lang w:eastAsia="ru-RU"/>
        </w:rPr>
        <w:t>tail”, sized 5</w:t>
      </w:r>
      <w:r w:rsidRPr="004748D3">
        <w:rPr>
          <w:rFonts w:eastAsia="Times New Roman"/>
          <w:bCs/>
          <w:sz w:val="18"/>
          <w:szCs w:val="18"/>
          <w:lang w:eastAsia="ru-RU"/>
        </w:rPr>
        <w:t xml:space="preserve"> </w:t>
      </w:r>
      <w:r w:rsidRPr="009D1080">
        <w:rPr>
          <w:rFonts w:eastAsia="Times New Roman"/>
          <w:bCs/>
          <w:sz w:val="18"/>
          <w:szCs w:val="18"/>
          <w:lang w:eastAsia="ru-RU"/>
        </w:rPr>
        <w:t>–</w:t>
      </w:r>
      <w:r w:rsidRPr="004748D3">
        <w:rPr>
          <w:rFonts w:eastAsia="Times New Roman"/>
          <w:bCs/>
          <w:sz w:val="18"/>
          <w:szCs w:val="18"/>
          <w:lang w:eastAsia="ru-RU"/>
        </w:rPr>
        <w:t xml:space="preserve"> </w:t>
      </w:r>
      <w:r w:rsidRPr="009D1080">
        <w:rPr>
          <w:rFonts w:eastAsia="Times New Roman"/>
          <w:sz w:val="18"/>
          <w:szCs w:val="18"/>
          <w:lang w:eastAsia="ru-RU"/>
        </w:rPr>
        <w:t>7 Fr with length 5 sm.</w:t>
      </w:r>
    </w:p>
    <w:p w14:paraId="11F33EC1" w14:textId="77777777" w:rsidR="00D1769D" w:rsidRPr="009D1080" w:rsidRDefault="00D1769D" w:rsidP="004D096E">
      <w:pPr>
        <w:overflowPunct w:val="0"/>
        <w:autoSpaceDE w:val="0"/>
        <w:autoSpaceDN w:val="0"/>
        <w:adjustRightInd w:val="0"/>
        <w:spacing w:after="0" w:line="240" w:lineRule="auto"/>
        <w:ind w:right="80"/>
        <w:rPr>
          <w:rFonts w:eastAsia="Times New Roman"/>
          <w:sz w:val="18"/>
          <w:szCs w:val="18"/>
          <w:lang w:eastAsia="ru-RU"/>
        </w:rPr>
      </w:pPr>
      <w:r w:rsidRPr="009D1080">
        <w:rPr>
          <w:rFonts w:eastAsia="Times New Roman"/>
          <w:b/>
          <w:bCs/>
          <w:sz w:val="18"/>
          <w:szCs w:val="18"/>
          <w:lang w:eastAsia="ru-RU"/>
        </w:rPr>
        <w:t>FINDINGS</w:t>
      </w:r>
      <w:r w:rsidRPr="00EC2BDE">
        <w:rPr>
          <w:rFonts w:eastAsia="Times New Roman"/>
          <w:sz w:val="18"/>
          <w:szCs w:val="18"/>
          <w:lang w:eastAsia="ru-RU"/>
        </w:rPr>
        <w:t>: In 62 (68,2</w:t>
      </w:r>
      <w:r w:rsidRPr="009D1080">
        <w:rPr>
          <w:rFonts w:eastAsia="Times New Roman"/>
          <w:sz w:val="18"/>
          <w:szCs w:val="18"/>
          <w:lang w:eastAsia="ru-RU"/>
        </w:rPr>
        <w:t>%) patients were applied mini</w:t>
      </w:r>
      <w:r>
        <w:rPr>
          <w:rFonts w:eastAsia="Times New Roman"/>
          <w:sz w:val="18"/>
          <w:szCs w:val="18"/>
          <w:lang w:eastAsia="ru-RU"/>
        </w:rPr>
        <w:t xml:space="preserve">mally </w:t>
      </w:r>
      <w:r w:rsidRPr="009D1080">
        <w:rPr>
          <w:rFonts w:eastAsia="Times New Roman"/>
          <w:sz w:val="18"/>
          <w:szCs w:val="18"/>
          <w:lang w:eastAsia="ru-RU"/>
        </w:rPr>
        <w:t>invasive methods of treatment.</w:t>
      </w:r>
      <w:r w:rsidRPr="009D1080">
        <w:rPr>
          <w:rFonts w:eastAsia="Times New Roman"/>
          <w:b/>
          <w:bCs/>
          <w:sz w:val="18"/>
          <w:szCs w:val="18"/>
          <w:lang w:eastAsia="ru-RU"/>
        </w:rPr>
        <w:t xml:space="preserve"> </w:t>
      </w:r>
      <w:r w:rsidRPr="009D1080">
        <w:rPr>
          <w:rFonts w:eastAsia="Times New Roman"/>
          <w:sz w:val="18"/>
          <w:szCs w:val="18"/>
          <w:lang w:eastAsia="ru-RU"/>
        </w:rPr>
        <w:t>Perc</w:t>
      </w:r>
      <w:r w:rsidRPr="00EC2BDE">
        <w:rPr>
          <w:rFonts w:eastAsia="Times New Roman"/>
          <w:sz w:val="18"/>
          <w:szCs w:val="18"/>
          <w:lang w:eastAsia="ru-RU"/>
        </w:rPr>
        <w:t xml:space="preserve">utaneous external drainage </w:t>
      </w:r>
      <w:r>
        <w:rPr>
          <w:rFonts w:eastAsia="Times New Roman"/>
          <w:sz w:val="18"/>
          <w:szCs w:val="18"/>
          <w:lang w:eastAsia="ru-RU"/>
        </w:rPr>
        <w:t>i</w:t>
      </w:r>
      <w:r w:rsidRPr="00EC2BDE">
        <w:rPr>
          <w:rFonts w:eastAsia="Times New Roman"/>
          <w:sz w:val="18"/>
          <w:szCs w:val="18"/>
          <w:lang w:eastAsia="ru-RU"/>
        </w:rPr>
        <w:t>n 33</w:t>
      </w:r>
      <w:r w:rsidRPr="009D1080">
        <w:rPr>
          <w:rFonts w:eastAsia="Times New Roman"/>
          <w:sz w:val="18"/>
          <w:szCs w:val="18"/>
          <w:lang w:eastAsia="ru-RU"/>
        </w:rPr>
        <w:t xml:space="preserve"> (53,</w:t>
      </w:r>
      <w:r w:rsidRPr="00EC2BDE">
        <w:rPr>
          <w:rFonts w:eastAsia="Times New Roman"/>
          <w:sz w:val="18"/>
          <w:szCs w:val="18"/>
          <w:lang w:eastAsia="ru-RU"/>
        </w:rPr>
        <w:t xml:space="preserve">2 </w:t>
      </w:r>
      <w:r w:rsidRPr="009D1080">
        <w:rPr>
          <w:rFonts w:eastAsia="Times New Roman"/>
          <w:sz w:val="18"/>
          <w:szCs w:val="18"/>
          <w:lang w:eastAsia="ru-RU"/>
        </w:rPr>
        <w:t>%)</w:t>
      </w:r>
      <w:r>
        <w:rPr>
          <w:rFonts w:eastAsia="Times New Roman"/>
          <w:sz w:val="18"/>
          <w:szCs w:val="18"/>
          <w:lang w:eastAsia="ru-RU"/>
        </w:rPr>
        <w:t xml:space="preserve"> patients</w:t>
      </w:r>
      <w:r w:rsidRPr="009D1080">
        <w:rPr>
          <w:rFonts w:eastAsia="Times New Roman"/>
          <w:sz w:val="18"/>
          <w:szCs w:val="18"/>
          <w:lang w:eastAsia="ru-RU"/>
        </w:rPr>
        <w:t>, endoscopic transmural drainage of postnecrotic pseudocysts</w:t>
      </w:r>
      <w:r>
        <w:rPr>
          <w:rFonts w:eastAsia="Times New Roman"/>
          <w:b/>
          <w:bCs/>
          <w:sz w:val="18"/>
          <w:szCs w:val="18"/>
          <w:lang w:eastAsia="ru-RU"/>
        </w:rPr>
        <w:t xml:space="preserve"> </w:t>
      </w:r>
      <w:r>
        <w:rPr>
          <w:rFonts w:eastAsia="Times New Roman"/>
          <w:sz w:val="18"/>
          <w:szCs w:val="18"/>
          <w:lang w:eastAsia="ru-RU"/>
        </w:rPr>
        <w:t>i</w:t>
      </w:r>
      <w:r w:rsidRPr="00EC2BDE">
        <w:rPr>
          <w:rFonts w:eastAsia="Times New Roman"/>
          <w:sz w:val="18"/>
          <w:szCs w:val="18"/>
          <w:lang w:eastAsia="ru-RU"/>
        </w:rPr>
        <w:t>n 11</w:t>
      </w:r>
      <w:r w:rsidRPr="009D1080">
        <w:rPr>
          <w:rFonts w:eastAsia="Times New Roman"/>
          <w:sz w:val="18"/>
          <w:szCs w:val="18"/>
          <w:lang w:eastAsia="ru-RU"/>
        </w:rPr>
        <w:t xml:space="preserve"> (</w:t>
      </w:r>
      <w:r w:rsidRPr="00EC2BDE">
        <w:rPr>
          <w:rFonts w:eastAsia="Times New Roman"/>
          <w:sz w:val="18"/>
          <w:szCs w:val="18"/>
          <w:lang w:eastAsia="ru-RU"/>
        </w:rPr>
        <w:t>17,7</w:t>
      </w:r>
      <w:r w:rsidRPr="009D1080">
        <w:rPr>
          <w:rFonts w:eastAsia="Times New Roman"/>
          <w:sz w:val="18"/>
          <w:szCs w:val="18"/>
          <w:lang w:eastAsia="ru-RU"/>
        </w:rPr>
        <w:t xml:space="preserve">%) patients. Combined endoscopic </w:t>
      </w:r>
      <w:r w:rsidRPr="00EC2BDE">
        <w:rPr>
          <w:rFonts w:eastAsia="Times New Roman"/>
          <w:sz w:val="18"/>
          <w:szCs w:val="18"/>
          <w:lang w:eastAsia="ru-RU"/>
        </w:rPr>
        <w:t>interventions were applied in 18</w:t>
      </w:r>
      <w:r w:rsidRPr="009D1080">
        <w:rPr>
          <w:rFonts w:eastAsia="Times New Roman"/>
          <w:sz w:val="18"/>
          <w:szCs w:val="18"/>
          <w:lang w:eastAsia="ru-RU"/>
        </w:rPr>
        <w:t xml:space="preserve"> (</w:t>
      </w:r>
      <w:r w:rsidRPr="00EC2BDE">
        <w:rPr>
          <w:rFonts w:eastAsia="Times New Roman"/>
          <w:sz w:val="18"/>
          <w:szCs w:val="18"/>
          <w:lang w:eastAsia="ru-RU"/>
        </w:rPr>
        <w:t>29,1</w:t>
      </w:r>
      <w:r w:rsidRPr="009D1080">
        <w:rPr>
          <w:rFonts w:eastAsia="Times New Roman"/>
          <w:sz w:val="18"/>
          <w:szCs w:val="18"/>
          <w:lang w:eastAsia="ru-RU"/>
        </w:rPr>
        <w:t>%) patients. In particular, endoscopic transmural drainage with temporary stenting of pancreatic duct</w:t>
      </w:r>
      <w:r w:rsidRPr="00ED02A5">
        <w:rPr>
          <w:rFonts w:eastAsia="Times New Roman"/>
          <w:bCs/>
          <w:sz w:val="18"/>
          <w:szCs w:val="18"/>
          <w:lang w:eastAsia="ru-RU"/>
        </w:rPr>
        <w:t xml:space="preserve"> i</w:t>
      </w:r>
      <w:r w:rsidRPr="00ED02A5">
        <w:rPr>
          <w:rFonts w:eastAsia="Times New Roman"/>
          <w:sz w:val="18"/>
          <w:szCs w:val="18"/>
          <w:lang w:eastAsia="ru-RU"/>
        </w:rPr>
        <w:t>n</w:t>
      </w:r>
      <w:r>
        <w:rPr>
          <w:rFonts w:eastAsia="Times New Roman"/>
          <w:sz w:val="18"/>
          <w:szCs w:val="18"/>
          <w:lang w:eastAsia="ru-RU"/>
        </w:rPr>
        <w:t xml:space="preserve"> </w:t>
      </w:r>
      <w:r w:rsidRPr="00EC2BDE">
        <w:rPr>
          <w:rFonts w:eastAsia="Times New Roman"/>
          <w:sz w:val="18"/>
          <w:szCs w:val="18"/>
          <w:lang w:eastAsia="ru-RU"/>
        </w:rPr>
        <w:t>11</w:t>
      </w:r>
      <w:r w:rsidRPr="009D1080">
        <w:rPr>
          <w:rFonts w:eastAsia="Times New Roman"/>
          <w:sz w:val="18"/>
          <w:szCs w:val="18"/>
          <w:lang w:eastAsia="ru-RU"/>
        </w:rPr>
        <w:t xml:space="preserve"> (</w:t>
      </w:r>
      <w:r w:rsidRPr="00EC2BDE">
        <w:rPr>
          <w:rFonts w:eastAsia="Times New Roman"/>
          <w:sz w:val="18"/>
          <w:szCs w:val="18"/>
          <w:lang w:eastAsia="ru-RU"/>
        </w:rPr>
        <w:t>61,1</w:t>
      </w:r>
      <w:r w:rsidRPr="009D1080">
        <w:rPr>
          <w:rFonts w:eastAsia="Times New Roman"/>
          <w:sz w:val="18"/>
          <w:szCs w:val="18"/>
          <w:lang w:eastAsia="ru-RU"/>
        </w:rPr>
        <w:t>%)</w:t>
      </w:r>
      <w:r>
        <w:rPr>
          <w:rFonts w:eastAsia="Times New Roman"/>
          <w:sz w:val="18"/>
          <w:szCs w:val="18"/>
          <w:lang w:eastAsia="ru-RU"/>
        </w:rPr>
        <w:t xml:space="preserve"> patients</w:t>
      </w:r>
      <w:r w:rsidRPr="009D1080">
        <w:rPr>
          <w:rFonts w:eastAsia="Times New Roman"/>
          <w:sz w:val="18"/>
          <w:szCs w:val="18"/>
          <w:lang w:eastAsia="ru-RU"/>
        </w:rPr>
        <w:t>, endobiliary stenting with temporary stenting of pancreatic duct</w:t>
      </w:r>
      <w:r w:rsidRPr="00ED02A5">
        <w:rPr>
          <w:rFonts w:eastAsia="Times New Roman"/>
          <w:sz w:val="18"/>
          <w:szCs w:val="18"/>
          <w:lang w:eastAsia="ru-RU"/>
        </w:rPr>
        <w:t xml:space="preserve"> </w:t>
      </w:r>
      <w:r>
        <w:rPr>
          <w:rFonts w:eastAsia="Times New Roman"/>
          <w:sz w:val="18"/>
          <w:szCs w:val="18"/>
          <w:lang w:eastAsia="ru-RU"/>
        </w:rPr>
        <w:t>i</w:t>
      </w:r>
      <w:r w:rsidRPr="00EC2BDE">
        <w:rPr>
          <w:rFonts w:eastAsia="Times New Roman"/>
          <w:sz w:val="18"/>
          <w:szCs w:val="18"/>
          <w:lang w:eastAsia="ru-RU"/>
        </w:rPr>
        <w:t>n 3</w:t>
      </w:r>
      <w:r w:rsidRPr="009D1080">
        <w:rPr>
          <w:rFonts w:eastAsia="Times New Roman"/>
          <w:sz w:val="18"/>
          <w:szCs w:val="18"/>
          <w:lang w:eastAsia="ru-RU"/>
        </w:rPr>
        <w:t xml:space="preserve"> (</w:t>
      </w:r>
      <w:r w:rsidRPr="00EC2BDE">
        <w:rPr>
          <w:rFonts w:eastAsia="Times New Roman"/>
          <w:sz w:val="18"/>
          <w:szCs w:val="18"/>
          <w:lang w:eastAsia="ru-RU"/>
        </w:rPr>
        <w:t>16,67</w:t>
      </w:r>
      <w:r w:rsidRPr="009D1080">
        <w:rPr>
          <w:rFonts w:eastAsia="Times New Roman"/>
          <w:sz w:val="18"/>
          <w:szCs w:val="18"/>
          <w:lang w:eastAsia="ru-RU"/>
        </w:rPr>
        <w:t>%) patients, temporary stenting of pancreatic duct</w:t>
      </w:r>
      <w:r w:rsidRPr="003E0DCB">
        <w:rPr>
          <w:rFonts w:eastAsia="Times New Roman"/>
          <w:bCs/>
          <w:sz w:val="18"/>
          <w:szCs w:val="18"/>
          <w:lang w:eastAsia="ru-RU"/>
        </w:rPr>
        <w:t xml:space="preserve"> </w:t>
      </w:r>
      <w:r w:rsidRPr="00EC2BDE">
        <w:rPr>
          <w:rFonts w:eastAsia="Times New Roman"/>
          <w:sz w:val="18"/>
          <w:szCs w:val="18"/>
          <w:lang w:eastAsia="ru-RU"/>
        </w:rPr>
        <w:t>in 3</w:t>
      </w:r>
      <w:r w:rsidRPr="009D1080">
        <w:rPr>
          <w:rFonts w:eastAsia="Times New Roman"/>
          <w:sz w:val="18"/>
          <w:szCs w:val="18"/>
          <w:lang w:eastAsia="ru-RU"/>
        </w:rPr>
        <w:t xml:space="preserve"> (</w:t>
      </w:r>
      <w:r w:rsidRPr="00EC2BDE">
        <w:rPr>
          <w:rFonts w:eastAsia="Times New Roman"/>
          <w:sz w:val="18"/>
          <w:szCs w:val="18"/>
          <w:lang w:eastAsia="ru-RU"/>
        </w:rPr>
        <w:t>16,67</w:t>
      </w:r>
      <w:r w:rsidRPr="009D1080">
        <w:rPr>
          <w:rFonts w:eastAsia="Times New Roman"/>
          <w:sz w:val="18"/>
          <w:szCs w:val="18"/>
          <w:lang w:eastAsia="ru-RU"/>
        </w:rPr>
        <w:t>%) patients, endoscopic transmural drainage with percutaneous external drainage</w:t>
      </w:r>
      <w:r>
        <w:rPr>
          <w:rFonts w:eastAsia="Times New Roman"/>
          <w:sz w:val="18"/>
          <w:szCs w:val="18"/>
          <w:lang w:eastAsia="ru-RU"/>
        </w:rPr>
        <w:t xml:space="preserve"> i</w:t>
      </w:r>
      <w:r w:rsidRPr="009D1080">
        <w:rPr>
          <w:rFonts w:eastAsia="Times New Roman"/>
          <w:sz w:val="18"/>
          <w:szCs w:val="18"/>
          <w:lang w:eastAsia="ru-RU"/>
        </w:rPr>
        <w:t>n 1</w:t>
      </w:r>
      <w:r w:rsidRPr="00EC2BDE">
        <w:rPr>
          <w:rFonts w:eastAsia="Times New Roman"/>
          <w:sz w:val="18"/>
          <w:szCs w:val="18"/>
          <w:lang w:eastAsia="ru-RU"/>
        </w:rPr>
        <w:t xml:space="preserve"> (5,56%)</w:t>
      </w:r>
      <w:r w:rsidRPr="009D1080">
        <w:rPr>
          <w:rFonts w:eastAsia="Times New Roman"/>
          <w:sz w:val="18"/>
          <w:szCs w:val="18"/>
          <w:lang w:eastAsia="ru-RU"/>
        </w:rPr>
        <w:t xml:space="preserve"> patient.</w:t>
      </w:r>
    </w:p>
    <w:p w14:paraId="3BBB1ED9" w14:textId="77777777" w:rsidR="004D096E" w:rsidRDefault="00D1769D" w:rsidP="004D096E">
      <w:pPr>
        <w:spacing w:after="0" w:line="240" w:lineRule="auto"/>
        <w:rPr>
          <w:rFonts w:eastAsia="Times New Roman"/>
          <w:sz w:val="18"/>
          <w:szCs w:val="18"/>
          <w:lang w:eastAsia="ru-RU"/>
        </w:rPr>
      </w:pPr>
      <w:r w:rsidRPr="009D1080">
        <w:rPr>
          <w:rFonts w:eastAsia="Times New Roman"/>
          <w:b/>
          <w:bCs/>
          <w:sz w:val="18"/>
          <w:szCs w:val="18"/>
          <w:lang w:eastAsia="ru-RU"/>
        </w:rPr>
        <w:t>CONCLUSION AND SIGNIFICANCE</w:t>
      </w:r>
      <w:r w:rsidRPr="009D1080">
        <w:rPr>
          <w:rFonts w:eastAsia="Times New Roman"/>
          <w:sz w:val="18"/>
          <w:szCs w:val="18"/>
          <w:lang w:eastAsia="ru-RU"/>
        </w:rPr>
        <w:t>: Usage of combined mini</w:t>
      </w:r>
      <w:r>
        <w:rPr>
          <w:rFonts w:eastAsia="Times New Roman"/>
          <w:sz w:val="18"/>
          <w:szCs w:val="18"/>
          <w:lang w:eastAsia="ru-RU"/>
        </w:rPr>
        <w:t xml:space="preserve">mally </w:t>
      </w:r>
      <w:r w:rsidRPr="009D1080">
        <w:rPr>
          <w:rFonts w:eastAsia="Times New Roman"/>
          <w:sz w:val="18"/>
          <w:szCs w:val="18"/>
          <w:lang w:eastAsia="ru-RU"/>
        </w:rPr>
        <w:t>invasive methods of</w:t>
      </w:r>
      <w:r w:rsidRPr="009D1080">
        <w:rPr>
          <w:rFonts w:eastAsia="Times New Roman"/>
          <w:b/>
          <w:bCs/>
          <w:sz w:val="18"/>
          <w:szCs w:val="18"/>
          <w:lang w:eastAsia="ru-RU"/>
        </w:rPr>
        <w:t xml:space="preserve"> </w:t>
      </w:r>
      <w:r w:rsidRPr="009D1080">
        <w:rPr>
          <w:rFonts w:eastAsia="Times New Roman"/>
          <w:sz w:val="18"/>
          <w:szCs w:val="18"/>
          <w:lang w:eastAsia="ru-RU"/>
        </w:rPr>
        <w:t xml:space="preserve">treatment of acute necrotic pancreatitis complicated by postnecrotic pseudocysts help to improve results of treatment, reduction of complications </w:t>
      </w:r>
    </w:p>
    <w:p w14:paraId="149B2F2B" w14:textId="77777777" w:rsidR="00D1769D" w:rsidRPr="005B7D07" w:rsidRDefault="00D1769D" w:rsidP="004D096E">
      <w:pPr>
        <w:spacing w:after="0" w:line="240" w:lineRule="auto"/>
      </w:pPr>
      <w:r w:rsidRPr="009D1080">
        <w:rPr>
          <w:rFonts w:eastAsia="Times New Roman"/>
          <w:sz w:val="18"/>
          <w:szCs w:val="18"/>
          <w:lang w:eastAsia="ru-RU"/>
        </w:rPr>
        <w:t>amount, contraction of stationary treatment terms and improving of life quality.</w:t>
      </w:r>
    </w:p>
    <w:p w14:paraId="206D5146" w14:textId="77777777" w:rsidR="004D096E" w:rsidRDefault="004D096E" w:rsidP="004D096E">
      <w:pPr>
        <w:pStyle w:val="HTML"/>
        <w:jc w:val="both"/>
        <w:rPr>
          <w:rFonts w:ascii="Times New Roman" w:hAnsi="Times New Roman" w:cs="Times New Roman"/>
          <w:sz w:val="24"/>
        </w:rPr>
      </w:pPr>
    </w:p>
    <w:p w14:paraId="1CD3BD4E" w14:textId="77777777" w:rsidR="0028059F" w:rsidRDefault="0028059F" w:rsidP="004D096E">
      <w:pPr>
        <w:pStyle w:val="HTML"/>
        <w:jc w:val="both"/>
        <w:rPr>
          <w:rFonts w:ascii="Times New Roman" w:hAnsi="Times New Roman" w:cs="Times New Roman"/>
          <w:sz w:val="24"/>
        </w:rPr>
      </w:pPr>
      <w:r w:rsidRPr="0028059F">
        <w:rPr>
          <w:rFonts w:ascii="Times New Roman" w:hAnsi="Times New Roman" w:cs="Times New Roman"/>
          <w:sz w:val="24"/>
        </w:rPr>
        <w:t>Keywords—</w:t>
      </w:r>
      <w:r w:rsidR="00D1769D">
        <w:rPr>
          <w:rFonts w:ascii="Times New Roman" w:hAnsi="Times New Roman" w:cs="Times New Roman"/>
          <w:i/>
          <w:sz w:val="24"/>
        </w:rPr>
        <w:t>acute pancreatitis, endoscopic drainage, postnecrotic pseudocyst, transmural drainage</w:t>
      </w:r>
    </w:p>
    <w:p w14:paraId="021208C5" w14:textId="77777777" w:rsidR="004D096E" w:rsidRDefault="004D096E" w:rsidP="004D096E">
      <w:pPr>
        <w:autoSpaceDE w:val="0"/>
        <w:autoSpaceDN w:val="0"/>
        <w:adjustRightInd w:val="0"/>
        <w:spacing w:after="0" w:line="240" w:lineRule="auto"/>
        <w:ind w:right="-1"/>
        <w:jc w:val="both"/>
        <w:rPr>
          <w:rFonts w:eastAsia="Times New Roman"/>
          <w:b/>
          <w:i/>
          <w:color w:val="181512"/>
          <w:lang w:val="en-GB"/>
        </w:rPr>
      </w:pPr>
    </w:p>
    <w:p w14:paraId="08E72039" w14:textId="77777777" w:rsidR="004D096E" w:rsidRPr="00832F36" w:rsidRDefault="004D096E" w:rsidP="004D096E">
      <w:pPr>
        <w:autoSpaceDE w:val="0"/>
        <w:autoSpaceDN w:val="0"/>
        <w:adjustRightInd w:val="0"/>
        <w:spacing w:after="0" w:line="240" w:lineRule="auto"/>
        <w:ind w:right="-1"/>
        <w:jc w:val="both"/>
        <w:rPr>
          <w:rFonts w:eastAsia="Times New Roman"/>
          <w:b/>
          <w:i/>
          <w:color w:val="181512"/>
        </w:rPr>
      </w:pPr>
      <w:commentRangeStart w:id="0"/>
      <w:r w:rsidRPr="00147F9C">
        <w:rPr>
          <w:rFonts w:eastAsia="Times New Roman" w:hint="eastAsia"/>
          <w:b/>
          <w:i/>
          <w:color w:val="181512"/>
        </w:rPr>
        <w:t>Biography</w:t>
      </w:r>
      <w:commentRangeEnd w:id="0"/>
      <w:r w:rsidRPr="00147F9C">
        <w:rPr>
          <w:rStyle w:val="a9"/>
          <w:sz w:val="20"/>
          <w:szCs w:val="20"/>
        </w:rPr>
        <w:commentReference w:id="0"/>
      </w:r>
      <w:r w:rsidRPr="00147F9C">
        <w:rPr>
          <w:rFonts w:eastAsia="Times New Roman" w:hint="eastAsia"/>
          <w:b/>
          <w:i/>
          <w:color w:val="181512"/>
        </w:rPr>
        <w:t xml:space="preserve"> </w:t>
      </w:r>
    </w:p>
    <w:p w14:paraId="25CBD618" w14:textId="77777777" w:rsidR="004D096E" w:rsidRPr="00A75423" w:rsidRDefault="004D096E" w:rsidP="004D096E">
      <w:pPr>
        <w:overflowPunct w:val="0"/>
        <w:autoSpaceDE w:val="0"/>
        <w:autoSpaceDN w:val="0"/>
        <w:adjustRightInd w:val="0"/>
        <w:spacing w:after="0" w:line="240" w:lineRule="auto"/>
        <w:rPr>
          <w:rFonts w:eastAsia="Times New Roman"/>
          <w:bCs/>
          <w:lang w:eastAsia="ru-RU"/>
        </w:rPr>
      </w:pPr>
      <w:r>
        <w:rPr>
          <w:rStyle w:val="a9"/>
        </w:rPr>
        <w:commentReference w:id="1"/>
      </w:r>
      <w:r w:rsidRPr="00A75423">
        <w:rPr>
          <w:rFonts w:eastAsia="Times New Roman"/>
          <w:lang w:eastAsia="ru-RU"/>
        </w:rPr>
        <w:t>Nazar Omelchuk is GI surgeon in</w:t>
      </w:r>
      <w:r w:rsidRPr="00A75423">
        <w:rPr>
          <w:rFonts w:eastAsia="Times New Roman"/>
          <w:bCs/>
          <w:lang w:eastAsia="ru-RU"/>
        </w:rPr>
        <w:t xml:space="preserve"> the Ivano–Frankivsk Regional Clinical Hospital and teacher assistant of General Surgery Department at Ivano–Frankivsk National Medical University. He works on new minimally invasive methods of pancreatic postnecrotic pseudocysts treatment, based on endoscopical approach. He has 3 registered patents, </w:t>
      </w:r>
      <w:r w:rsidRPr="00A75423">
        <w:rPr>
          <w:rFonts w:eastAsia="Times New Roman"/>
          <w:lang w:eastAsia="ru-RU"/>
        </w:rPr>
        <w:t>based on new ways of treating patients with acute pancreatitis, complicated with acute pseudocysts</w:t>
      </w:r>
    </w:p>
    <w:p w14:paraId="17E127B6" w14:textId="77777777" w:rsidR="004D096E" w:rsidRDefault="004D096E" w:rsidP="004D096E">
      <w:pPr>
        <w:overflowPunct w:val="0"/>
        <w:autoSpaceDE w:val="0"/>
        <w:autoSpaceDN w:val="0"/>
        <w:adjustRightInd w:val="0"/>
        <w:spacing w:after="0" w:line="240" w:lineRule="auto"/>
        <w:rPr>
          <w:rFonts w:eastAsia="Times New Roman"/>
          <w:lang w:eastAsia="ru-RU"/>
        </w:rPr>
      </w:pPr>
      <w:r w:rsidRPr="00A75423">
        <w:rPr>
          <w:rFonts w:eastAsia="Times New Roman"/>
          <w:lang w:eastAsia="ru-RU"/>
        </w:rPr>
        <w:t xml:space="preserve">Email   </w:t>
      </w:r>
      <w:hyperlink r:id="rId8" w:history="1">
        <w:r w:rsidRPr="00A75423">
          <w:rPr>
            <w:rFonts w:eastAsia="Times New Roman"/>
            <w:color w:val="0563C1"/>
            <w:u w:val="single"/>
            <w:lang w:eastAsia="ru-RU"/>
          </w:rPr>
          <w:t>dr.nazaromelchuk@gmail.com</w:t>
        </w:r>
      </w:hyperlink>
    </w:p>
    <w:p w14:paraId="33BD22E8" w14:textId="77777777" w:rsidR="004D096E" w:rsidRPr="004D096E" w:rsidRDefault="004D096E" w:rsidP="004D096E">
      <w:pPr>
        <w:overflowPunct w:val="0"/>
        <w:autoSpaceDE w:val="0"/>
        <w:autoSpaceDN w:val="0"/>
        <w:adjustRightInd w:val="0"/>
        <w:spacing w:after="0" w:line="240" w:lineRule="auto"/>
        <w:rPr>
          <w:rFonts w:eastAsia="Times New Roman"/>
          <w:lang w:eastAsia="ru-RU"/>
        </w:rPr>
      </w:pPr>
      <w:r w:rsidRPr="00832F36">
        <w:rPr>
          <w:b/>
        </w:rPr>
        <w:t>Presenter Name</w:t>
      </w:r>
      <w:r>
        <w:t>: Nazar Omelchuk</w:t>
      </w:r>
    </w:p>
    <w:p w14:paraId="79F0FFCC" w14:textId="77777777" w:rsidR="004D096E" w:rsidRDefault="004D096E" w:rsidP="004D096E">
      <w:pPr>
        <w:spacing w:after="0" w:line="240" w:lineRule="auto"/>
      </w:pPr>
      <w:r w:rsidRPr="00832F36">
        <w:rPr>
          <w:b/>
        </w:rPr>
        <w:t>Type of Presentation</w:t>
      </w:r>
      <w:r>
        <w:t>: Poster Presentation</w:t>
      </w:r>
    </w:p>
    <w:p w14:paraId="2D9231AE" w14:textId="77777777" w:rsidR="004D096E" w:rsidRDefault="004D096E" w:rsidP="004D096E">
      <w:pPr>
        <w:spacing w:after="0" w:line="240" w:lineRule="auto"/>
      </w:pPr>
      <w:r w:rsidRPr="00832F36">
        <w:rPr>
          <w:b/>
        </w:rPr>
        <w:t>Contact Number</w:t>
      </w:r>
      <w:r>
        <w:t xml:space="preserve">: </w:t>
      </w:r>
      <w:r w:rsidRPr="00B057F9">
        <w:t>+</w:t>
      </w:r>
      <w:r w:rsidRPr="00A75423">
        <w:rPr>
          <w:rFonts w:eastAsia="Times New Roman"/>
          <w:lang w:eastAsia="ru-RU"/>
        </w:rPr>
        <w:t>380673430650</w:t>
      </w:r>
    </w:p>
    <w:p w14:paraId="5C88A61E" w14:textId="77777777" w:rsidR="004D096E" w:rsidRDefault="004D096E" w:rsidP="004D096E">
      <w:r>
        <w:rPr>
          <w:noProof/>
          <w:lang w:val="ru-RU" w:eastAsia="ru-RU"/>
        </w:rPr>
        <w:drawing>
          <wp:inline distT="0" distB="0" distL="0" distR="0" wp14:anchorId="2FF6F296" wp14:editId="2FC53CAF">
            <wp:extent cx="1216152" cy="158496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6152" cy="1584960"/>
                    </a:xfrm>
                    <a:prstGeom prst="rect">
                      <a:avLst/>
                    </a:prstGeom>
                  </pic:spPr>
                </pic:pic>
              </a:graphicData>
            </a:graphic>
          </wp:inline>
        </w:drawing>
      </w:r>
    </w:p>
    <w:p w14:paraId="0159B8CD" w14:textId="77777777" w:rsidR="00B3082B" w:rsidRDefault="00B3082B" w:rsidP="00DF04E3">
      <w:pPr>
        <w:pStyle w:val="HTML"/>
        <w:jc w:val="both"/>
        <w:rPr>
          <w:rFonts w:ascii="Times New Roman" w:hAnsi="Times New Roman" w:cs="Times New Roman"/>
          <w:iCs/>
          <w:sz w:val="24"/>
        </w:rPr>
      </w:pPr>
    </w:p>
    <w:p w14:paraId="6A13332A" w14:textId="77777777" w:rsidR="00B3082B" w:rsidRDefault="00B3082B" w:rsidP="00DF04E3">
      <w:pPr>
        <w:pStyle w:val="HTML"/>
        <w:jc w:val="both"/>
        <w:rPr>
          <w:rFonts w:ascii="Times New Roman" w:hAnsi="Times New Roman" w:cs="Times New Roman"/>
          <w:iCs/>
          <w:sz w:val="24"/>
        </w:rPr>
      </w:pPr>
    </w:p>
    <w:p w14:paraId="7D9EAFEA" w14:textId="77777777" w:rsidR="00DF04E3" w:rsidRPr="00495C76" w:rsidRDefault="00DF04E3" w:rsidP="002350BC">
      <w:pPr>
        <w:rPr>
          <w:rFonts w:ascii="Times New Roman" w:hAnsi="Times New Roman" w:cs="Times New Roman"/>
          <w:b/>
          <w:sz w:val="24"/>
          <w:szCs w:val="24"/>
        </w:rPr>
      </w:pPr>
      <w:bookmarkStart w:id="2" w:name="_GoBack"/>
      <w:bookmarkEnd w:id="2"/>
    </w:p>
    <w:sectPr w:rsidR="00DF04E3" w:rsidRPr="00495C76">
      <w:headerReference w:type="default" r:id="rId1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iyanjun" w:date="2012-08-01T10:04:00Z" w:initials="l">
    <w:p w14:paraId="7139F6CC" w14:textId="77777777" w:rsidR="004D096E" w:rsidRDefault="004D096E" w:rsidP="004D096E">
      <w:pPr>
        <w:pStyle w:val="aa"/>
        <w:rPr>
          <w:lang w:eastAsia="zh-CN"/>
        </w:rPr>
      </w:pPr>
      <w:r>
        <w:rPr>
          <w:rStyle w:val="a9"/>
        </w:rPr>
        <w:annotationRef/>
      </w:r>
    </w:p>
    <w:p w14:paraId="57BDE2F9" w14:textId="77777777" w:rsidR="004D096E" w:rsidRDefault="004D096E" w:rsidP="004D096E">
      <w:pPr>
        <w:pStyle w:val="aa"/>
        <w:rPr>
          <w:lang w:eastAsia="zh-CN"/>
        </w:rPr>
      </w:pPr>
      <w:r>
        <w:rPr>
          <w:lang w:eastAsia="zh-CN"/>
        </w:rPr>
        <w:t>B</w:t>
      </w:r>
      <w:r>
        <w:rPr>
          <w:rFonts w:hint="eastAsia"/>
          <w:lang w:eastAsia="zh-CN"/>
        </w:rPr>
        <w:t>lank a line before and after the words</w:t>
      </w:r>
      <w:r>
        <w:rPr>
          <w:rFonts w:hint="eastAsia"/>
          <w:lang w:eastAsia="zh-CN"/>
        </w:rPr>
        <w:t>，</w:t>
      </w:r>
      <w:r>
        <w:rPr>
          <w:rFonts w:hint="eastAsia"/>
          <w:lang w:eastAsia="zh-CN"/>
        </w:rPr>
        <w:t>word size</w:t>
      </w:r>
      <w:r>
        <w:rPr>
          <w:rFonts w:hint="eastAsia"/>
          <w:lang w:eastAsia="zh-CN"/>
        </w:rPr>
        <w:t>：</w:t>
      </w:r>
      <w:r>
        <w:rPr>
          <w:rFonts w:hint="eastAsia"/>
          <w:lang w:eastAsia="zh-CN"/>
        </w:rPr>
        <w:t>10</w:t>
      </w:r>
      <w:r>
        <w:rPr>
          <w:rFonts w:hint="eastAsia"/>
          <w:lang w:eastAsia="zh-CN"/>
        </w:rPr>
        <w:t>，</w:t>
      </w:r>
      <w:r>
        <w:rPr>
          <w:rFonts w:hint="eastAsia"/>
          <w:lang w:eastAsia="zh-CN"/>
        </w:rPr>
        <w:t>tilt and bold.</w:t>
      </w:r>
    </w:p>
  </w:comment>
  <w:comment w:id="1" w:author="y" w:date="2012-08-01T10:06:00Z" w:initials="y">
    <w:p w14:paraId="2AB955D5" w14:textId="77777777" w:rsidR="004D096E" w:rsidRDefault="004D096E" w:rsidP="004D096E">
      <w:pPr>
        <w:pStyle w:val="aa"/>
        <w:rPr>
          <w:lang w:eastAsia="zh-CN"/>
        </w:rPr>
      </w:pPr>
      <w:r>
        <w:rPr>
          <w:rStyle w:val="a9"/>
        </w:rPr>
        <w:annotationRef/>
      </w:r>
    </w:p>
    <w:p w14:paraId="231E8B05" w14:textId="77777777" w:rsidR="004D096E" w:rsidRDefault="004D096E" w:rsidP="004D096E">
      <w:pPr>
        <w:pStyle w:val="aa"/>
        <w:rPr>
          <w:lang w:eastAsia="zh-CN"/>
        </w:rPr>
      </w:pPr>
      <w:r>
        <w:rPr>
          <w:rFonts w:hint="eastAsia"/>
          <w:lang w:eastAsia="zh-CN"/>
        </w:rPr>
        <w:t>Within 2800characters</w:t>
      </w:r>
      <w:r>
        <w:rPr>
          <w:rFonts w:hint="eastAsia"/>
          <w:lang w:eastAsia="zh-CN"/>
        </w:rPr>
        <w:t>（</w:t>
      </w:r>
      <w:r>
        <w:rPr>
          <w:rFonts w:hint="eastAsia"/>
          <w:lang w:eastAsia="zh-CN"/>
        </w:rPr>
        <w:t>includes space</w:t>
      </w:r>
      <w:r>
        <w:rPr>
          <w:rFonts w:hint="eastAsia"/>
          <w:lang w:eastAsia="zh-CN"/>
        </w:rP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7BDE2F9" w15:done="0"/>
  <w15:commentEx w15:paraId="231E8B05"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27A04" w14:textId="77777777" w:rsidR="00D70FF7" w:rsidRDefault="00D70FF7" w:rsidP="00495C76">
      <w:pPr>
        <w:spacing w:after="0" w:line="240" w:lineRule="auto"/>
      </w:pPr>
      <w:r>
        <w:separator/>
      </w:r>
    </w:p>
  </w:endnote>
  <w:endnote w:type="continuationSeparator" w:id="0">
    <w:p w14:paraId="7E6A63CB" w14:textId="77777777" w:rsidR="00D70FF7" w:rsidRDefault="00D70FF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C6C96" w14:textId="77777777" w:rsidR="00D70FF7" w:rsidRDefault="00D70FF7" w:rsidP="00495C76">
      <w:pPr>
        <w:spacing w:after="0" w:line="240" w:lineRule="auto"/>
      </w:pPr>
      <w:r>
        <w:separator/>
      </w:r>
    </w:p>
  </w:footnote>
  <w:footnote w:type="continuationSeparator" w:id="0">
    <w:p w14:paraId="064658C0" w14:textId="77777777" w:rsidR="00D70FF7" w:rsidRDefault="00D70FF7"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C74DF" w14:textId="77777777" w:rsidR="00495C76" w:rsidRDefault="00495C76" w:rsidP="00495C76">
    <w:pPr>
      <w:pStyle w:val="a5"/>
      <w:jc w:val="center"/>
    </w:pPr>
    <w:r>
      <w:rPr>
        <w:noProof/>
        <w:lang w:val="ru-RU" w:eastAsia="ru-RU"/>
      </w:rPr>
      <w:drawing>
        <wp:inline distT="0" distB="0" distL="0" distR="0" wp14:anchorId="4CE6C134" wp14:editId="4B8EC7E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42C7238" w14:textId="77777777"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4D096E"/>
    <w:rsid w:val="00627419"/>
    <w:rsid w:val="00B3082B"/>
    <w:rsid w:val="00B6703B"/>
    <w:rsid w:val="00BA654F"/>
    <w:rsid w:val="00CE511D"/>
    <w:rsid w:val="00D1769D"/>
    <w:rsid w:val="00D70FF7"/>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54B1F"/>
  <w15:docId w15:val="{E50D65AF-E71A-4DEE-B044-8CBD9DB1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character" w:styleId="a9">
    <w:name w:val="annotation reference"/>
    <w:rsid w:val="004D096E"/>
    <w:rPr>
      <w:sz w:val="21"/>
      <w:szCs w:val="21"/>
    </w:rPr>
  </w:style>
  <w:style w:type="paragraph" w:styleId="aa">
    <w:name w:val="annotation text"/>
    <w:basedOn w:val="a"/>
    <w:link w:val="ab"/>
    <w:rsid w:val="004D096E"/>
    <w:pPr>
      <w:spacing w:after="0" w:line="240" w:lineRule="auto"/>
    </w:pPr>
    <w:rPr>
      <w:rFonts w:ascii="Times New Roman" w:eastAsia="SimSun" w:hAnsi="Times New Roman" w:cs="Times New Roman"/>
      <w:sz w:val="20"/>
      <w:szCs w:val="20"/>
      <w:lang w:val="en-US"/>
    </w:rPr>
  </w:style>
  <w:style w:type="character" w:customStyle="1" w:styleId="ab">
    <w:name w:val="Текст примечания Знак"/>
    <w:basedOn w:val="a0"/>
    <w:link w:val="aa"/>
    <w:rsid w:val="004D096E"/>
    <w:rPr>
      <w:rFonts w:ascii="Times New Roman" w:eastAsia="SimSu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nazaromelchuk@gmail.com" TargetMode="Externa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Nazar</cp:lastModifiedBy>
  <cp:revision>11</cp:revision>
  <dcterms:created xsi:type="dcterms:W3CDTF">2017-03-28T12:12:00Z</dcterms:created>
  <dcterms:modified xsi:type="dcterms:W3CDTF">2018-01-13T19:20:00Z</dcterms:modified>
</cp:coreProperties>
</file>