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282" w:rsidRPr="00236282" w:rsidRDefault="00236282" w:rsidP="00236282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Theme="majorBidi" w:hAnsiTheme="majorBidi" w:cstheme="majorBidi"/>
          <w:color w:val="000000"/>
          <w:sz w:val="28"/>
          <w:szCs w:val="28"/>
        </w:rPr>
      </w:pPr>
      <w:r w:rsidRPr="00236282">
        <w:rPr>
          <w:rFonts w:asciiTheme="majorBidi" w:hAnsiTheme="majorBidi" w:cstheme="majorBidi"/>
          <w:color w:val="000000"/>
          <w:sz w:val="28"/>
          <w:szCs w:val="28"/>
        </w:rPr>
        <w:t>Hepatic arterial and portal venous complications after adult and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236282">
        <w:rPr>
          <w:rFonts w:asciiTheme="majorBidi" w:hAnsiTheme="majorBidi" w:cstheme="majorBidi"/>
          <w:color w:val="000000"/>
          <w:sz w:val="28"/>
          <w:szCs w:val="28"/>
        </w:rPr>
        <w:t>Pediatric living donor liver transplantation, risk factors, management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236282">
        <w:rPr>
          <w:rFonts w:asciiTheme="majorBidi" w:hAnsiTheme="majorBidi" w:cstheme="majorBidi"/>
          <w:color w:val="000000"/>
          <w:sz w:val="28"/>
          <w:szCs w:val="28"/>
        </w:rPr>
        <w:t>and outcome (A retrospective cohort study)</w:t>
      </w:r>
    </w:p>
    <w:p w:rsidR="00236282" w:rsidRDefault="00236282" w:rsidP="00236282">
      <w:pPr>
        <w:autoSpaceDE w:val="0"/>
        <w:autoSpaceDN w:val="0"/>
        <w:bidi w:val="0"/>
        <w:adjustRightInd w:val="0"/>
        <w:spacing w:after="0" w:line="240" w:lineRule="auto"/>
        <w:rPr>
          <w:rFonts w:ascii="AdvOT863180fb" w:hAnsi="AdvOT863180fb" w:cs="AdvOT863180fb"/>
          <w:color w:val="000000"/>
          <w:sz w:val="21"/>
          <w:szCs w:val="21"/>
        </w:rPr>
      </w:pPr>
    </w:p>
    <w:p w:rsidR="00236282" w:rsidRPr="00236282" w:rsidRDefault="00236282" w:rsidP="00236282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2197D2"/>
          <w:sz w:val="24"/>
          <w:szCs w:val="24"/>
        </w:rPr>
      </w:pPr>
      <w:proofErr w:type="spellStart"/>
      <w:r w:rsidRPr="00236282">
        <w:rPr>
          <w:rFonts w:asciiTheme="majorBidi" w:hAnsiTheme="majorBidi" w:cstheme="majorBidi"/>
          <w:color w:val="000000"/>
          <w:sz w:val="24"/>
          <w:szCs w:val="24"/>
        </w:rPr>
        <w:t>Emad</w:t>
      </w:r>
      <w:proofErr w:type="spellEnd"/>
      <w:r w:rsidRPr="00236282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236282">
        <w:rPr>
          <w:rFonts w:asciiTheme="majorBidi" w:hAnsiTheme="majorBidi" w:cstheme="majorBidi"/>
          <w:color w:val="000000"/>
          <w:sz w:val="24"/>
          <w:szCs w:val="24"/>
        </w:rPr>
        <w:t>Hamdy</w:t>
      </w:r>
      <w:proofErr w:type="spellEnd"/>
      <w:r w:rsidRPr="00236282">
        <w:rPr>
          <w:rFonts w:asciiTheme="majorBidi" w:hAnsiTheme="majorBidi" w:cstheme="majorBidi"/>
          <w:color w:val="000000"/>
          <w:sz w:val="24"/>
          <w:szCs w:val="24"/>
        </w:rPr>
        <w:t xml:space="preserve"> Gad </w:t>
      </w:r>
      <w:r w:rsidRPr="00236282">
        <w:rPr>
          <w:rFonts w:asciiTheme="majorBidi" w:hAnsiTheme="majorBidi" w:cstheme="majorBidi"/>
          <w:color w:val="2197D2"/>
          <w:sz w:val="24"/>
          <w:szCs w:val="24"/>
        </w:rPr>
        <w:t>a</w:t>
      </w:r>
      <w:r w:rsidRPr="00236282">
        <w:rPr>
          <w:rFonts w:asciiTheme="majorBidi" w:hAnsiTheme="majorBidi" w:cstheme="majorBidi"/>
          <w:color w:val="000000"/>
          <w:sz w:val="24"/>
          <w:szCs w:val="24"/>
        </w:rPr>
        <w:t xml:space="preserve">, Mohammed </w:t>
      </w:r>
      <w:proofErr w:type="spellStart"/>
      <w:r w:rsidRPr="00236282">
        <w:rPr>
          <w:rFonts w:asciiTheme="majorBidi" w:hAnsiTheme="majorBidi" w:cstheme="majorBidi"/>
          <w:color w:val="000000"/>
          <w:sz w:val="24"/>
          <w:szCs w:val="24"/>
        </w:rPr>
        <w:t>Alsayed</w:t>
      </w:r>
      <w:proofErr w:type="spellEnd"/>
      <w:r w:rsidRPr="00236282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236282">
        <w:rPr>
          <w:rFonts w:asciiTheme="majorBidi" w:hAnsiTheme="majorBidi" w:cstheme="majorBidi"/>
          <w:color w:val="000000"/>
          <w:sz w:val="24"/>
          <w:szCs w:val="24"/>
        </w:rPr>
        <w:t>Abdelsamee</w:t>
      </w:r>
      <w:proofErr w:type="spellEnd"/>
      <w:r w:rsidRPr="00236282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236282">
        <w:rPr>
          <w:rFonts w:asciiTheme="majorBidi" w:hAnsiTheme="majorBidi" w:cstheme="majorBidi"/>
          <w:color w:val="2197D2"/>
          <w:sz w:val="24"/>
          <w:szCs w:val="24"/>
        </w:rPr>
        <w:t>b</w:t>
      </w:r>
      <w:r w:rsidRPr="00236282">
        <w:rPr>
          <w:rFonts w:asciiTheme="majorBidi" w:hAnsiTheme="majorBidi" w:cstheme="majorBidi"/>
          <w:color w:val="000000"/>
          <w:sz w:val="24"/>
          <w:szCs w:val="24"/>
        </w:rPr>
        <w:t xml:space="preserve">, </w:t>
      </w:r>
      <w:proofErr w:type="spellStart"/>
      <w:r w:rsidRPr="00236282">
        <w:rPr>
          <w:rFonts w:asciiTheme="majorBidi" w:hAnsiTheme="majorBidi" w:cstheme="majorBidi"/>
          <w:color w:val="000000"/>
          <w:sz w:val="24"/>
          <w:szCs w:val="24"/>
        </w:rPr>
        <w:t>Yasmin</w:t>
      </w:r>
      <w:proofErr w:type="spellEnd"/>
      <w:r w:rsidRPr="00236282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236282">
        <w:rPr>
          <w:rFonts w:asciiTheme="majorBidi" w:hAnsiTheme="majorBidi" w:cstheme="majorBidi"/>
          <w:color w:val="000000"/>
          <w:sz w:val="24"/>
          <w:szCs w:val="24"/>
        </w:rPr>
        <w:t>Kamel</w:t>
      </w:r>
      <w:proofErr w:type="spellEnd"/>
      <w:r w:rsidRPr="00236282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236282">
        <w:rPr>
          <w:rFonts w:asciiTheme="majorBidi" w:hAnsiTheme="majorBidi" w:cstheme="majorBidi"/>
          <w:color w:val="2197D2"/>
          <w:sz w:val="24"/>
          <w:szCs w:val="24"/>
        </w:rPr>
        <w:t>c</w:t>
      </w:r>
    </w:p>
    <w:p w:rsidR="00236282" w:rsidRPr="00236282" w:rsidRDefault="00236282" w:rsidP="00236282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proofErr w:type="gramStart"/>
      <w:r w:rsidRPr="00236282">
        <w:rPr>
          <w:rFonts w:asciiTheme="majorBidi" w:hAnsiTheme="majorBidi" w:cstheme="majorBidi"/>
          <w:color w:val="000000"/>
          <w:sz w:val="24"/>
          <w:szCs w:val="24"/>
        </w:rPr>
        <w:t>a</w:t>
      </w:r>
      <w:proofErr w:type="gramEnd"/>
      <w:r w:rsidRPr="00236282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236282">
        <w:rPr>
          <w:rFonts w:asciiTheme="majorBidi" w:hAnsiTheme="majorBidi" w:cstheme="majorBidi"/>
          <w:color w:val="000000"/>
          <w:sz w:val="24"/>
          <w:szCs w:val="24"/>
        </w:rPr>
        <w:t>Hepatobiliary</w:t>
      </w:r>
      <w:proofErr w:type="spellEnd"/>
      <w:r w:rsidRPr="00236282">
        <w:rPr>
          <w:rFonts w:asciiTheme="majorBidi" w:hAnsiTheme="majorBidi" w:cstheme="majorBidi"/>
          <w:color w:val="000000"/>
          <w:sz w:val="24"/>
          <w:szCs w:val="24"/>
        </w:rPr>
        <w:t xml:space="preserve"> Surgery and Liver Transplanta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tion, National Liver Institute, </w:t>
      </w:r>
      <w:proofErr w:type="spellStart"/>
      <w:r w:rsidRPr="00236282">
        <w:rPr>
          <w:rFonts w:asciiTheme="majorBidi" w:hAnsiTheme="majorBidi" w:cstheme="majorBidi"/>
          <w:color w:val="000000"/>
          <w:sz w:val="24"/>
          <w:szCs w:val="24"/>
        </w:rPr>
        <w:t>Menoufiya</w:t>
      </w:r>
      <w:proofErr w:type="spellEnd"/>
      <w:r w:rsidRPr="00236282">
        <w:rPr>
          <w:rFonts w:asciiTheme="majorBidi" w:hAnsiTheme="majorBidi" w:cstheme="majorBidi"/>
          <w:color w:val="000000"/>
          <w:sz w:val="24"/>
          <w:szCs w:val="24"/>
        </w:rPr>
        <w:t xml:space="preserve"> University, </w:t>
      </w:r>
      <w:proofErr w:type="spellStart"/>
      <w:r w:rsidRPr="00236282">
        <w:rPr>
          <w:rFonts w:asciiTheme="majorBidi" w:hAnsiTheme="majorBidi" w:cstheme="majorBidi"/>
          <w:color w:val="000000"/>
          <w:sz w:val="24"/>
          <w:szCs w:val="24"/>
        </w:rPr>
        <w:t>Shebein</w:t>
      </w:r>
      <w:proofErr w:type="spellEnd"/>
      <w:r w:rsidRPr="00236282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236282">
        <w:rPr>
          <w:rFonts w:asciiTheme="majorBidi" w:hAnsiTheme="majorBidi" w:cstheme="majorBidi"/>
          <w:color w:val="000000"/>
          <w:sz w:val="24"/>
          <w:szCs w:val="24"/>
        </w:rPr>
        <w:t>Elkoum</w:t>
      </w:r>
      <w:proofErr w:type="spellEnd"/>
      <w:r w:rsidRPr="00236282">
        <w:rPr>
          <w:rFonts w:asciiTheme="majorBidi" w:hAnsiTheme="majorBidi" w:cstheme="majorBidi"/>
          <w:color w:val="000000"/>
          <w:sz w:val="24"/>
          <w:szCs w:val="24"/>
        </w:rPr>
        <w:t>, Egypt</w:t>
      </w:r>
    </w:p>
    <w:p w:rsidR="00236282" w:rsidRPr="00236282" w:rsidRDefault="00236282" w:rsidP="00236282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proofErr w:type="gramStart"/>
      <w:r w:rsidRPr="00236282">
        <w:rPr>
          <w:rFonts w:asciiTheme="majorBidi" w:hAnsiTheme="majorBidi" w:cstheme="majorBidi"/>
          <w:color w:val="000000"/>
          <w:sz w:val="24"/>
          <w:szCs w:val="24"/>
        </w:rPr>
        <w:t>b</w:t>
      </w:r>
      <w:proofErr w:type="gramEnd"/>
      <w:r w:rsidRPr="00236282">
        <w:rPr>
          <w:rFonts w:asciiTheme="majorBidi" w:hAnsiTheme="majorBidi" w:cstheme="majorBidi"/>
          <w:color w:val="000000"/>
          <w:sz w:val="24"/>
          <w:szCs w:val="24"/>
        </w:rPr>
        <w:t xml:space="preserve"> Radiology, National Liver Institute, </w:t>
      </w:r>
      <w:proofErr w:type="spellStart"/>
      <w:r w:rsidRPr="00236282">
        <w:rPr>
          <w:rFonts w:asciiTheme="majorBidi" w:hAnsiTheme="majorBidi" w:cstheme="majorBidi"/>
          <w:color w:val="000000"/>
          <w:sz w:val="24"/>
          <w:szCs w:val="24"/>
        </w:rPr>
        <w:t>Menoufiya</w:t>
      </w:r>
      <w:proofErr w:type="spellEnd"/>
      <w:r w:rsidRPr="00236282">
        <w:rPr>
          <w:rFonts w:asciiTheme="majorBidi" w:hAnsiTheme="majorBidi" w:cstheme="majorBidi"/>
          <w:color w:val="000000"/>
          <w:sz w:val="24"/>
          <w:szCs w:val="24"/>
        </w:rPr>
        <w:t xml:space="preserve"> University, </w:t>
      </w:r>
      <w:proofErr w:type="spellStart"/>
      <w:r w:rsidRPr="00236282">
        <w:rPr>
          <w:rFonts w:asciiTheme="majorBidi" w:hAnsiTheme="majorBidi" w:cstheme="majorBidi"/>
          <w:color w:val="000000"/>
          <w:sz w:val="24"/>
          <w:szCs w:val="24"/>
        </w:rPr>
        <w:t>Shebein</w:t>
      </w:r>
      <w:proofErr w:type="spellEnd"/>
      <w:r w:rsidRPr="00236282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236282">
        <w:rPr>
          <w:rFonts w:asciiTheme="majorBidi" w:hAnsiTheme="majorBidi" w:cstheme="majorBidi"/>
          <w:color w:val="000000"/>
          <w:sz w:val="24"/>
          <w:szCs w:val="24"/>
        </w:rPr>
        <w:t>Elkoum</w:t>
      </w:r>
      <w:proofErr w:type="spellEnd"/>
      <w:r w:rsidRPr="00236282">
        <w:rPr>
          <w:rFonts w:asciiTheme="majorBidi" w:hAnsiTheme="majorBidi" w:cstheme="majorBidi"/>
          <w:color w:val="000000"/>
          <w:sz w:val="24"/>
          <w:szCs w:val="24"/>
        </w:rPr>
        <w:t>, Egypt</w:t>
      </w:r>
    </w:p>
    <w:p w:rsidR="001033AD" w:rsidRDefault="00236282" w:rsidP="00236282">
      <w:pPr>
        <w:bidi w:val="0"/>
        <w:jc w:val="both"/>
        <w:rPr>
          <w:rFonts w:asciiTheme="majorBidi" w:hAnsiTheme="majorBidi" w:cstheme="majorBidi"/>
          <w:sz w:val="24"/>
          <w:szCs w:val="24"/>
          <w:lang w:bidi="ar-EG"/>
        </w:rPr>
      </w:pPr>
      <w:proofErr w:type="gramStart"/>
      <w:r w:rsidRPr="00236282">
        <w:rPr>
          <w:rFonts w:asciiTheme="majorBidi" w:hAnsiTheme="majorBidi" w:cstheme="majorBidi"/>
          <w:color w:val="000000"/>
          <w:sz w:val="24"/>
          <w:szCs w:val="24"/>
        </w:rPr>
        <w:t>c</w:t>
      </w:r>
      <w:proofErr w:type="gramEnd"/>
      <w:r w:rsidRPr="00236282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236282">
        <w:rPr>
          <w:rFonts w:asciiTheme="majorBidi" w:hAnsiTheme="majorBidi" w:cstheme="majorBidi"/>
          <w:color w:val="000000"/>
          <w:sz w:val="24"/>
          <w:szCs w:val="24"/>
        </w:rPr>
        <w:t>Anaesthesia</w:t>
      </w:r>
      <w:proofErr w:type="spellEnd"/>
      <w:r w:rsidRPr="00236282">
        <w:rPr>
          <w:rFonts w:asciiTheme="majorBidi" w:hAnsiTheme="majorBidi" w:cstheme="majorBidi"/>
          <w:color w:val="000000"/>
          <w:sz w:val="24"/>
          <w:szCs w:val="24"/>
        </w:rPr>
        <w:t xml:space="preserve">, National Liver Institute, </w:t>
      </w:r>
      <w:proofErr w:type="spellStart"/>
      <w:r w:rsidRPr="00236282">
        <w:rPr>
          <w:rFonts w:asciiTheme="majorBidi" w:hAnsiTheme="majorBidi" w:cstheme="majorBidi"/>
          <w:color w:val="000000"/>
          <w:sz w:val="24"/>
          <w:szCs w:val="24"/>
        </w:rPr>
        <w:t>Menoufiya</w:t>
      </w:r>
      <w:proofErr w:type="spellEnd"/>
      <w:r w:rsidRPr="00236282">
        <w:rPr>
          <w:rFonts w:asciiTheme="majorBidi" w:hAnsiTheme="majorBidi" w:cstheme="majorBidi"/>
          <w:color w:val="000000"/>
          <w:sz w:val="24"/>
          <w:szCs w:val="24"/>
        </w:rPr>
        <w:t xml:space="preserve"> University, </w:t>
      </w:r>
      <w:proofErr w:type="spellStart"/>
      <w:r w:rsidRPr="00236282">
        <w:rPr>
          <w:rFonts w:asciiTheme="majorBidi" w:hAnsiTheme="majorBidi" w:cstheme="majorBidi"/>
          <w:color w:val="000000"/>
          <w:sz w:val="24"/>
          <w:szCs w:val="24"/>
        </w:rPr>
        <w:t>Shebein</w:t>
      </w:r>
      <w:proofErr w:type="spellEnd"/>
      <w:r w:rsidRPr="00236282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236282">
        <w:rPr>
          <w:rFonts w:asciiTheme="majorBidi" w:hAnsiTheme="majorBidi" w:cstheme="majorBidi"/>
          <w:color w:val="000000"/>
          <w:sz w:val="24"/>
          <w:szCs w:val="24"/>
        </w:rPr>
        <w:t>Elkoum</w:t>
      </w:r>
      <w:proofErr w:type="spellEnd"/>
      <w:r w:rsidRPr="00236282">
        <w:rPr>
          <w:rFonts w:asciiTheme="majorBidi" w:hAnsiTheme="majorBidi" w:cstheme="majorBidi"/>
          <w:color w:val="000000"/>
          <w:sz w:val="24"/>
          <w:szCs w:val="24"/>
        </w:rPr>
        <w:t>, Egypt</w:t>
      </w:r>
    </w:p>
    <w:p w:rsidR="008D3AD5" w:rsidRDefault="008D3AD5" w:rsidP="008D3AD5">
      <w:pPr>
        <w:bidi w:val="0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lang w:bidi="ar-EG"/>
        </w:rPr>
        <w:t>Abstract:</w:t>
      </w:r>
    </w:p>
    <w:p w:rsidR="001033AD" w:rsidRPr="001033AD" w:rsidRDefault="001033AD" w:rsidP="001033AD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1033AD">
        <w:rPr>
          <w:rFonts w:asciiTheme="majorBidi" w:hAnsiTheme="majorBidi" w:cstheme="majorBidi"/>
          <w:sz w:val="24"/>
          <w:szCs w:val="24"/>
        </w:rPr>
        <w:t>Objectives: Hepatic arterial (HA) and portal venous (PV) complications of recipients after living donor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1033AD">
        <w:rPr>
          <w:rFonts w:asciiTheme="majorBidi" w:hAnsiTheme="majorBidi" w:cstheme="majorBidi"/>
          <w:sz w:val="24"/>
          <w:szCs w:val="24"/>
        </w:rPr>
        <w:t>liver transplantation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1033AD">
        <w:rPr>
          <w:rFonts w:asciiTheme="majorBidi" w:hAnsiTheme="majorBidi" w:cstheme="majorBidi"/>
          <w:sz w:val="24"/>
          <w:szCs w:val="24"/>
        </w:rPr>
        <w:t>(LDLT) result in patient loss. The aim of this study was to analyze these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1033AD">
        <w:rPr>
          <w:rFonts w:asciiTheme="majorBidi" w:hAnsiTheme="majorBidi" w:cstheme="majorBidi"/>
          <w:sz w:val="24"/>
          <w:szCs w:val="24"/>
        </w:rPr>
        <w:t>complications.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1033AD">
        <w:rPr>
          <w:rFonts w:asciiTheme="majorBidi" w:hAnsiTheme="majorBidi" w:cstheme="majorBidi"/>
          <w:sz w:val="24"/>
          <w:szCs w:val="24"/>
        </w:rPr>
        <w:t>Methods: We retrospectively analyzed HA and/or PV complications in 213 of 222 recipients underwent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1033AD">
        <w:rPr>
          <w:rFonts w:asciiTheme="majorBidi" w:hAnsiTheme="majorBidi" w:cstheme="majorBidi"/>
          <w:sz w:val="24"/>
          <w:szCs w:val="24"/>
        </w:rPr>
        <w:t>LDLT in our centre. The overall male/female and adult/pediatric ratios were 183/30 and 186/27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1033AD">
        <w:rPr>
          <w:rFonts w:asciiTheme="majorBidi" w:hAnsiTheme="majorBidi" w:cstheme="majorBidi"/>
          <w:sz w:val="24"/>
          <w:szCs w:val="24"/>
        </w:rPr>
        <w:t>respectively.</w:t>
      </w:r>
    </w:p>
    <w:p w:rsidR="001033AD" w:rsidRPr="001033AD" w:rsidRDefault="001033AD" w:rsidP="001033AD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1033AD">
        <w:rPr>
          <w:rFonts w:asciiTheme="majorBidi" w:hAnsiTheme="majorBidi" w:cstheme="majorBidi"/>
          <w:sz w:val="24"/>
          <w:szCs w:val="24"/>
        </w:rPr>
        <w:t>Results: The overall incidence of HA and/or PV complications was 19.7% (n ¼ 42), while adult and pediatric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1033AD">
        <w:rPr>
          <w:rFonts w:asciiTheme="majorBidi" w:hAnsiTheme="majorBidi" w:cstheme="majorBidi"/>
          <w:sz w:val="24"/>
          <w:szCs w:val="24"/>
        </w:rPr>
        <w:t>complications were 18.3% (n ¼ 39) and 1.4% (n ¼ 3) respectively. However early (&lt;1month) and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1033AD">
        <w:rPr>
          <w:rFonts w:asciiTheme="majorBidi" w:hAnsiTheme="majorBidi" w:cstheme="majorBidi"/>
          <w:sz w:val="24"/>
          <w:szCs w:val="24"/>
        </w:rPr>
        <w:t>late (&gt;1month) complications were 9.4% (n ¼ 20) and 10.3% (n ¼ 22) respectively. Individually HA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1033AD">
        <w:rPr>
          <w:rFonts w:asciiTheme="majorBidi" w:hAnsiTheme="majorBidi" w:cstheme="majorBidi"/>
          <w:sz w:val="24"/>
          <w:szCs w:val="24"/>
        </w:rPr>
        <w:t xml:space="preserve">problems (HA </w:t>
      </w:r>
      <w:proofErr w:type="spellStart"/>
      <w:r w:rsidRPr="001033AD">
        <w:rPr>
          <w:rFonts w:asciiTheme="majorBidi" w:hAnsiTheme="majorBidi" w:cstheme="majorBidi"/>
          <w:sz w:val="24"/>
          <w:szCs w:val="24"/>
        </w:rPr>
        <w:t>stenosis</w:t>
      </w:r>
      <w:proofErr w:type="spellEnd"/>
      <w:r w:rsidRPr="001033AD">
        <w:rPr>
          <w:rFonts w:asciiTheme="majorBidi" w:hAnsiTheme="majorBidi" w:cstheme="majorBidi"/>
          <w:sz w:val="24"/>
          <w:szCs w:val="24"/>
        </w:rPr>
        <w:t>, HA thrombosis, injury and arterial steal syndrome) 15% (n ¼ 32), PV problems (PV</w:t>
      </w:r>
    </w:p>
    <w:p w:rsidR="001033AD" w:rsidRPr="001033AD" w:rsidRDefault="001033AD" w:rsidP="001033AD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1033AD">
        <w:rPr>
          <w:rFonts w:asciiTheme="majorBidi" w:hAnsiTheme="majorBidi" w:cstheme="majorBidi"/>
          <w:sz w:val="24"/>
          <w:szCs w:val="24"/>
        </w:rPr>
        <w:t>thrombosis</w:t>
      </w:r>
      <w:proofErr w:type="gramEnd"/>
      <w:r w:rsidRPr="001033AD">
        <w:rPr>
          <w:rFonts w:asciiTheme="majorBidi" w:hAnsiTheme="majorBidi" w:cstheme="majorBidi"/>
          <w:sz w:val="24"/>
          <w:szCs w:val="24"/>
        </w:rPr>
        <w:t xml:space="preserve"> and PV </w:t>
      </w:r>
      <w:proofErr w:type="spellStart"/>
      <w:r w:rsidRPr="001033AD">
        <w:rPr>
          <w:rFonts w:asciiTheme="majorBidi" w:hAnsiTheme="majorBidi" w:cstheme="majorBidi"/>
          <w:sz w:val="24"/>
          <w:szCs w:val="24"/>
        </w:rPr>
        <w:t>stenosis</w:t>
      </w:r>
      <w:proofErr w:type="spellEnd"/>
      <w:r w:rsidRPr="001033AD">
        <w:rPr>
          <w:rFonts w:asciiTheme="majorBidi" w:hAnsiTheme="majorBidi" w:cstheme="majorBidi"/>
          <w:sz w:val="24"/>
          <w:szCs w:val="24"/>
        </w:rPr>
        <w:t>) 2.8% (n ¼ 6) and simultaneous HA and PV problems 1.9% (n ¼ 4). 40/42 of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1033AD">
        <w:rPr>
          <w:rFonts w:asciiTheme="majorBidi" w:hAnsiTheme="majorBidi" w:cstheme="majorBidi"/>
          <w:sz w:val="24"/>
          <w:szCs w:val="24"/>
        </w:rPr>
        <w:t>complications were managed by angiography (n ¼ 18), surgery (n ¼ 10) or medically (Anticoagulant and/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1033AD">
        <w:rPr>
          <w:rFonts w:asciiTheme="majorBidi" w:hAnsiTheme="majorBidi" w:cstheme="majorBidi"/>
          <w:sz w:val="24"/>
          <w:szCs w:val="24"/>
        </w:rPr>
        <w:t>or thrombolytic) (n ¼ 12) where successful tre</w:t>
      </w:r>
      <w:r>
        <w:rPr>
          <w:rFonts w:asciiTheme="majorBidi" w:hAnsiTheme="majorBidi" w:cstheme="majorBidi"/>
          <w:sz w:val="24"/>
          <w:szCs w:val="24"/>
        </w:rPr>
        <w:t>atment occurred in 18 patients.</w:t>
      </w:r>
      <w:r w:rsidRPr="001033AD">
        <w:rPr>
          <w:rFonts w:asciiTheme="majorBidi" w:hAnsiTheme="majorBidi" w:cstheme="majorBidi"/>
          <w:sz w:val="24"/>
          <w:szCs w:val="24"/>
        </w:rPr>
        <w:t>13/42 (31%) of patients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1033AD">
        <w:rPr>
          <w:rFonts w:asciiTheme="majorBidi" w:hAnsiTheme="majorBidi" w:cstheme="majorBidi"/>
          <w:sz w:val="24"/>
          <w:szCs w:val="24"/>
        </w:rPr>
        <w:t>died as a direct result of these complications. Preoperative PVT was significant predictor of these complications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1033AD">
        <w:rPr>
          <w:rFonts w:asciiTheme="majorBidi" w:hAnsiTheme="majorBidi" w:cstheme="majorBidi"/>
          <w:sz w:val="24"/>
          <w:szCs w:val="24"/>
        </w:rPr>
        <w:t xml:space="preserve">in </w:t>
      </w:r>
      <w:proofErr w:type="spellStart"/>
      <w:r w:rsidRPr="001033AD">
        <w:rPr>
          <w:rFonts w:asciiTheme="majorBidi" w:hAnsiTheme="majorBidi" w:cstheme="majorBidi"/>
          <w:sz w:val="24"/>
          <w:szCs w:val="24"/>
        </w:rPr>
        <w:t>univariate</w:t>
      </w:r>
      <w:proofErr w:type="spellEnd"/>
      <w:r w:rsidRPr="001033AD">
        <w:rPr>
          <w:rFonts w:asciiTheme="majorBidi" w:hAnsiTheme="majorBidi" w:cstheme="majorBidi"/>
          <w:sz w:val="24"/>
          <w:szCs w:val="24"/>
        </w:rPr>
        <w:t xml:space="preserve"> analysis. The 6-month, 1-, 3-, 5- 7- and 10-year survival rates in patients were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1033AD">
        <w:rPr>
          <w:rFonts w:asciiTheme="majorBidi" w:hAnsiTheme="majorBidi" w:cstheme="majorBidi"/>
          <w:sz w:val="24"/>
          <w:szCs w:val="24"/>
        </w:rPr>
        <w:t>65.3%, 61.5%, 55.9%, 55.4%, 54.5% and 54.5% respectively.</w:t>
      </w:r>
    </w:p>
    <w:p w:rsidR="008D3AD5" w:rsidRDefault="001033AD" w:rsidP="001033AD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1033AD">
        <w:rPr>
          <w:rFonts w:asciiTheme="majorBidi" w:hAnsiTheme="majorBidi" w:cstheme="majorBidi"/>
          <w:sz w:val="24"/>
          <w:szCs w:val="24"/>
        </w:rPr>
        <w:t>Conclusion: HA and/or PV complications specially early ones lead to significant poor outcome after LDLT,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1033AD">
        <w:rPr>
          <w:rFonts w:asciiTheme="majorBidi" w:hAnsiTheme="majorBidi" w:cstheme="majorBidi"/>
          <w:sz w:val="24"/>
          <w:szCs w:val="24"/>
        </w:rPr>
        <w:t>so proper dealing with the risk factors like pre LT PVT (I.e. More intensive anticoagulation therapy) and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1033AD">
        <w:rPr>
          <w:rFonts w:asciiTheme="majorBidi" w:hAnsiTheme="majorBidi" w:cstheme="majorBidi"/>
          <w:sz w:val="24"/>
          <w:szCs w:val="24"/>
        </w:rPr>
        <w:t>the effective management of these complications are mandatory for improving outcome.</w:t>
      </w:r>
    </w:p>
    <w:p w:rsidR="00F81CD4" w:rsidRDefault="00F81CD4" w:rsidP="00F81CD4">
      <w:pPr>
        <w:bidi w:val="0"/>
        <w:rPr>
          <w:rFonts w:asciiTheme="majorBidi" w:hAnsiTheme="majorBidi" w:cstheme="majorBidi"/>
          <w:sz w:val="24"/>
          <w:szCs w:val="24"/>
        </w:rPr>
      </w:pPr>
      <w:r>
        <w:rPr>
          <w:rFonts w:ascii="Times New Roman" w:hAnsi="Times New Roman" w:cs="Times New Roman"/>
        </w:rPr>
        <w:t>Recent publications:</w:t>
      </w:r>
    </w:p>
    <w:p w:rsidR="00F81CD4" w:rsidRDefault="00F81CD4" w:rsidP="00F81CD4">
      <w:pPr>
        <w:autoSpaceDE w:val="0"/>
        <w:autoSpaceDN w:val="0"/>
        <w:bidi w:val="0"/>
        <w:adjustRightInd w:val="0"/>
        <w:spacing w:after="0" w:line="24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4D0CD2">
        <w:rPr>
          <w:rFonts w:asciiTheme="majorBidi" w:hAnsiTheme="majorBidi" w:cstheme="majorBidi"/>
          <w:sz w:val="24"/>
          <w:szCs w:val="24"/>
        </w:rPr>
        <w:t>Hepatic arterial and portal venous complications after adult and pediatric living donor liver transplantation, risk factors, management and outcome (A retrospective cohort study) (Main author).</w:t>
      </w:r>
      <w:proofErr w:type="gramEnd"/>
      <w:r w:rsidRPr="004D0CD2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4D0CD2">
        <w:rPr>
          <w:rFonts w:asciiTheme="majorBidi" w:hAnsiTheme="majorBidi" w:cstheme="majorBidi"/>
          <w:color w:val="000000"/>
          <w:sz w:val="24"/>
          <w:szCs w:val="24"/>
        </w:rPr>
        <w:t>the</w:t>
      </w:r>
      <w:proofErr w:type="gramEnd"/>
      <w:r w:rsidRPr="004D0CD2">
        <w:rPr>
          <w:rFonts w:asciiTheme="majorBidi" w:hAnsiTheme="majorBidi" w:cstheme="majorBidi"/>
          <w:color w:val="000000"/>
          <w:sz w:val="24"/>
          <w:szCs w:val="24"/>
        </w:rPr>
        <w:t xml:space="preserve"> full text was published in</w:t>
      </w:r>
      <w:r w:rsidRPr="004D0CD2">
        <w:rPr>
          <w:rFonts w:asciiTheme="majorBidi" w:eastAsia="AdobeFangsongStd-Regular" w:hAnsiTheme="majorBidi" w:cstheme="majorBidi"/>
          <w:sz w:val="24"/>
          <w:szCs w:val="24"/>
        </w:rPr>
        <w:t xml:space="preserve"> </w:t>
      </w:r>
      <w:r w:rsidRPr="004D0CD2">
        <w:rPr>
          <w:rFonts w:asciiTheme="majorBidi" w:hAnsiTheme="majorBidi" w:cstheme="majorBidi"/>
          <w:sz w:val="24"/>
          <w:szCs w:val="24"/>
        </w:rPr>
        <w:t>Annals of Medicine and Surgery journal, 8 (2016) 28-39.</w:t>
      </w:r>
    </w:p>
    <w:p w:rsidR="00F81CD4" w:rsidRPr="004D0CD2" w:rsidRDefault="00F81CD4" w:rsidP="00F81CD4">
      <w:pPr>
        <w:autoSpaceDE w:val="0"/>
        <w:autoSpaceDN w:val="0"/>
        <w:bidi w:val="0"/>
        <w:adjustRightInd w:val="0"/>
        <w:spacing w:after="0" w:line="240" w:lineRule="auto"/>
        <w:ind w:left="360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4D0CD2">
        <w:rPr>
          <w:rFonts w:asciiTheme="majorBidi" w:hAnsiTheme="majorBidi" w:cstheme="majorBidi"/>
          <w:sz w:val="24"/>
          <w:szCs w:val="24"/>
        </w:rPr>
        <w:lastRenderedPageBreak/>
        <w:t>Early (&lt;6 months) Mortality after Adult to Adult Living Donor Liver Transplantation, Single Centre Experience: A Retrospective Cohort Study. (Main author)</w:t>
      </w:r>
      <w:r w:rsidRPr="004D0CD2">
        <w:rPr>
          <w:rFonts w:asciiTheme="majorBidi" w:eastAsia="AdobeFangsongStd-Regular" w:hAnsiTheme="majorBidi" w:cstheme="majorBidi"/>
          <w:sz w:val="24"/>
          <w:szCs w:val="24"/>
        </w:rPr>
        <w:t xml:space="preserve"> </w:t>
      </w:r>
      <w:r w:rsidRPr="004D0CD2">
        <w:rPr>
          <w:rFonts w:asciiTheme="majorBidi" w:hAnsiTheme="majorBidi" w:cstheme="majorBidi"/>
          <w:color w:val="000000"/>
          <w:sz w:val="24"/>
          <w:szCs w:val="24"/>
        </w:rPr>
        <w:t xml:space="preserve">the full text was published in Journal of Liver: Disease &amp; Transplantation, Gad et al., J Liver: </w:t>
      </w:r>
      <w:proofErr w:type="spellStart"/>
      <w:r w:rsidRPr="004D0CD2">
        <w:rPr>
          <w:rFonts w:asciiTheme="majorBidi" w:hAnsiTheme="majorBidi" w:cstheme="majorBidi"/>
          <w:color w:val="000000"/>
          <w:sz w:val="24"/>
          <w:szCs w:val="24"/>
        </w:rPr>
        <w:t>Dis</w:t>
      </w:r>
      <w:proofErr w:type="spellEnd"/>
      <w:r w:rsidRPr="004D0CD2">
        <w:rPr>
          <w:rFonts w:asciiTheme="majorBidi" w:hAnsiTheme="majorBidi" w:cstheme="majorBidi"/>
          <w:color w:val="000000"/>
          <w:sz w:val="24"/>
          <w:szCs w:val="24"/>
        </w:rPr>
        <w:t xml:space="preserve"> Transplant 2016, 5:1, </w:t>
      </w:r>
      <w:proofErr w:type="spellStart"/>
      <w:r w:rsidRPr="004D0CD2">
        <w:rPr>
          <w:rFonts w:asciiTheme="majorBidi" w:hAnsiTheme="majorBidi" w:cstheme="majorBidi"/>
          <w:color w:val="000000"/>
          <w:sz w:val="24"/>
          <w:szCs w:val="24"/>
        </w:rPr>
        <w:t>doi:http</w:t>
      </w:r>
      <w:proofErr w:type="spellEnd"/>
      <w:r w:rsidRPr="004D0CD2">
        <w:rPr>
          <w:rFonts w:asciiTheme="majorBidi" w:hAnsiTheme="majorBidi" w:cstheme="majorBidi"/>
          <w:color w:val="000000"/>
          <w:sz w:val="24"/>
          <w:szCs w:val="24"/>
        </w:rPr>
        <w:t>://dx.doi.org/10.4172/2325-9612.1000135.</w:t>
      </w:r>
    </w:p>
    <w:p w:rsidR="006266CF" w:rsidRPr="004D0CD2" w:rsidRDefault="006266CF" w:rsidP="006266CF">
      <w:pPr>
        <w:autoSpaceDE w:val="0"/>
        <w:autoSpaceDN w:val="0"/>
        <w:bidi w:val="0"/>
        <w:adjustRightInd w:val="0"/>
        <w:spacing w:after="0" w:line="24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r w:rsidRPr="004D0CD2">
        <w:rPr>
          <w:rFonts w:asciiTheme="majorBidi" w:hAnsiTheme="majorBidi" w:cstheme="majorBidi"/>
          <w:sz w:val="24"/>
          <w:szCs w:val="24"/>
        </w:rPr>
        <w:t>Small for Size Syndrome difficult dilemma: lessons from 10 years single centre experience in living donor liver transplantation.</w:t>
      </w:r>
      <w:r w:rsidRPr="004D0CD2">
        <w:rPr>
          <w:rFonts w:asciiTheme="majorBidi" w:eastAsia="AdobeFangsongStd-Regular" w:hAnsiTheme="majorBidi" w:cstheme="majorBidi"/>
          <w:sz w:val="24"/>
          <w:szCs w:val="24"/>
        </w:rPr>
        <w:t xml:space="preserve"> The full text was published in world journal of </w:t>
      </w:r>
      <w:proofErr w:type="spellStart"/>
      <w:r w:rsidRPr="004D0CD2">
        <w:rPr>
          <w:rFonts w:asciiTheme="majorBidi" w:eastAsia="AdobeFangsongStd-Regular" w:hAnsiTheme="majorBidi" w:cstheme="majorBidi"/>
          <w:sz w:val="24"/>
          <w:szCs w:val="24"/>
        </w:rPr>
        <w:t>hepatology</w:t>
      </w:r>
      <w:proofErr w:type="spellEnd"/>
      <w:r w:rsidRPr="004D0CD2">
        <w:rPr>
          <w:rFonts w:asciiTheme="majorBidi" w:eastAsia="AdobeFangsongStd-Regular" w:hAnsiTheme="majorBidi" w:cstheme="majorBidi"/>
          <w:sz w:val="24"/>
          <w:szCs w:val="24"/>
        </w:rPr>
        <w:t xml:space="preserve"> World J </w:t>
      </w:r>
      <w:proofErr w:type="spellStart"/>
      <w:r w:rsidRPr="004D0CD2">
        <w:rPr>
          <w:rFonts w:asciiTheme="majorBidi" w:eastAsia="AdobeFangsongStd-Regular" w:hAnsiTheme="majorBidi" w:cstheme="majorBidi"/>
          <w:sz w:val="24"/>
          <w:szCs w:val="24"/>
        </w:rPr>
        <w:t>Hepatol</w:t>
      </w:r>
      <w:proofErr w:type="spellEnd"/>
      <w:r w:rsidRPr="004D0CD2">
        <w:rPr>
          <w:rFonts w:asciiTheme="majorBidi" w:eastAsia="AdobeFangsongStd-Regular" w:hAnsiTheme="majorBidi" w:cstheme="majorBidi"/>
          <w:sz w:val="24"/>
          <w:szCs w:val="24"/>
        </w:rPr>
        <w:t xml:space="preserve"> 2017 July 28; 9(21): 930-944.</w:t>
      </w:r>
    </w:p>
    <w:p w:rsidR="00F81CD4" w:rsidRDefault="00F81CD4" w:rsidP="00F81CD4">
      <w:pPr>
        <w:bidi w:val="0"/>
        <w:rPr>
          <w:rFonts w:asciiTheme="majorBidi" w:hAnsiTheme="majorBidi" w:cstheme="majorBidi"/>
          <w:sz w:val="24"/>
          <w:szCs w:val="24"/>
        </w:rPr>
      </w:pPr>
    </w:p>
    <w:p w:rsidR="0081239C" w:rsidRDefault="008D3AD5" w:rsidP="00F81CD4">
      <w:pPr>
        <w:bidi w:val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Biography of presenting author: I work as lecturer of anesthesia, intensive care, and liver transplantation in National liver institute, </w:t>
      </w:r>
      <w:proofErr w:type="spellStart"/>
      <w:r>
        <w:rPr>
          <w:rFonts w:asciiTheme="majorBidi" w:hAnsiTheme="majorBidi" w:cstheme="majorBidi"/>
          <w:sz w:val="24"/>
          <w:szCs w:val="24"/>
        </w:rPr>
        <w:t>Menoufiya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university, </w:t>
      </w:r>
      <w:proofErr w:type="gramStart"/>
      <w:r>
        <w:rPr>
          <w:rFonts w:asciiTheme="majorBidi" w:hAnsiTheme="majorBidi" w:cstheme="majorBidi"/>
          <w:sz w:val="24"/>
          <w:szCs w:val="24"/>
        </w:rPr>
        <w:t>Egypt .</w:t>
      </w:r>
      <w:proofErr w:type="gramEnd"/>
    </w:p>
    <w:p w:rsidR="008D3AD5" w:rsidRPr="008D3AD5" w:rsidRDefault="008D3AD5" w:rsidP="008D3AD5">
      <w:pPr>
        <w:bidi w:val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Presenting author: </w:t>
      </w:r>
      <w:proofErr w:type="spellStart"/>
      <w:r>
        <w:rPr>
          <w:rFonts w:asciiTheme="majorBidi" w:hAnsiTheme="majorBidi" w:cstheme="majorBidi"/>
          <w:sz w:val="24"/>
          <w:szCs w:val="24"/>
        </w:rPr>
        <w:t>Yasmin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Kamel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</w:t>
      </w:r>
      <w:hyperlink r:id="rId5" w:history="1">
        <w:r w:rsidRPr="00B37725">
          <w:rPr>
            <w:rStyle w:val="Hyperlink"/>
            <w:rFonts w:asciiTheme="majorBidi" w:hAnsiTheme="majorBidi" w:cstheme="majorBidi"/>
            <w:sz w:val="24"/>
            <w:szCs w:val="24"/>
          </w:rPr>
          <w:t>yasmin_salam_2009@yahoo.com</w:t>
        </w:r>
      </w:hyperlink>
      <w:r>
        <w:rPr>
          <w:rFonts w:asciiTheme="majorBidi" w:hAnsiTheme="majorBidi" w:cstheme="majorBidi"/>
          <w:sz w:val="24"/>
          <w:szCs w:val="24"/>
        </w:rPr>
        <w:t>, 002100</w:t>
      </w:r>
      <w:r w:rsidR="0021660B">
        <w:rPr>
          <w:rFonts w:asciiTheme="majorBidi" w:hAnsiTheme="majorBidi" w:cstheme="majorBidi"/>
          <w:sz w:val="24"/>
          <w:szCs w:val="24"/>
        </w:rPr>
        <w:t>6831960, oral or poster presentation</w:t>
      </w:r>
    </w:p>
    <w:sectPr w:rsidR="008D3AD5" w:rsidRPr="008D3AD5" w:rsidSect="0097001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vOT863180fb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obeFangsongStd-Regular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458ED"/>
    <w:multiLevelType w:val="hybridMultilevel"/>
    <w:tmpl w:val="634A9F3E"/>
    <w:lvl w:ilvl="0" w:tplc="AD8A18BA">
      <w:start w:val="3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236282"/>
    <w:rsid w:val="001033AD"/>
    <w:rsid w:val="0021660B"/>
    <w:rsid w:val="00236282"/>
    <w:rsid w:val="006266CF"/>
    <w:rsid w:val="0081239C"/>
    <w:rsid w:val="008D3AD5"/>
    <w:rsid w:val="00970016"/>
    <w:rsid w:val="00F81C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39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D3A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yasmin_salam_2009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Alresala</dc:creator>
  <cp:lastModifiedBy>Alresala</cp:lastModifiedBy>
  <cp:revision>13</cp:revision>
  <dcterms:created xsi:type="dcterms:W3CDTF">2017-12-13T18:55:00Z</dcterms:created>
  <dcterms:modified xsi:type="dcterms:W3CDTF">2017-12-13T19:17:00Z</dcterms:modified>
</cp:coreProperties>
</file>