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864" w:rsidRPr="003A3933" w:rsidRDefault="00A63864" w:rsidP="00A63864">
      <w:pPr>
        <w:bidi w:val="0"/>
        <w:jc w:val="center"/>
        <w:rPr>
          <w:rFonts w:asciiTheme="majorBidi" w:hAnsiTheme="majorBidi" w:cstheme="majorBidi"/>
          <w:b/>
          <w:bCs/>
          <w:sz w:val="24"/>
          <w:szCs w:val="24"/>
          <w:lang w:bidi="ar-EG"/>
        </w:rPr>
      </w:pPr>
      <w:r w:rsidRPr="003A3933">
        <w:rPr>
          <w:rFonts w:asciiTheme="majorBidi" w:hAnsiTheme="majorBidi" w:cstheme="majorBidi"/>
          <w:b/>
          <w:bCs/>
          <w:sz w:val="24"/>
          <w:szCs w:val="24"/>
        </w:rPr>
        <w:t>Surgical (Open and laparoscopic) management of large difficult CBD stones after different sessions of endoscopic failure</w:t>
      </w:r>
    </w:p>
    <w:p w:rsidR="00A63864" w:rsidRPr="003A3933" w:rsidRDefault="00A63864" w:rsidP="00A63864">
      <w:pPr>
        <w:bidi w:val="0"/>
        <w:spacing w:line="480" w:lineRule="auto"/>
        <w:ind w:right="-766"/>
        <w:rPr>
          <w:rFonts w:asciiTheme="majorBidi" w:hAnsiTheme="majorBidi" w:cstheme="majorBidi"/>
          <w:color w:val="000000"/>
          <w:sz w:val="24"/>
          <w:szCs w:val="24"/>
          <w:lang w:eastAsia="ar-SA"/>
        </w:rPr>
      </w:pPr>
      <w:proofErr w:type="spellStart"/>
      <w:r w:rsidRPr="003A3933">
        <w:rPr>
          <w:rFonts w:asciiTheme="majorBidi" w:hAnsiTheme="majorBidi" w:cstheme="majorBidi"/>
          <w:color w:val="000000"/>
          <w:sz w:val="24"/>
          <w:szCs w:val="24"/>
          <w:lang w:eastAsia="ar-SA"/>
        </w:rPr>
        <w:t>Emad</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Hamdy</w:t>
      </w:r>
      <w:proofErr w:type="spellEnd"/>
      <w:r w:rsidRPr="003A3933">
        <w:rPr>
          <w:rFonts w:asciiTheme="majorBidi" w:hAnsiTheme="majorBidi" w:cstheme="majorBidi"/>
          <w:color w:val="000000"/>
          <w:sz w:val="24"/>
          <w:szCs w:val="24"/>
          <w:lang w:eastAsia="ar-SA"/>
        </w:rPr>
        <w:t xml:space="preserve"> Gad, MD (1),  </w:t>
      </w:r>
      <w:proofErr w:type="spellStart"/>
      <w:r w:rsidRPr="003A3933">
        <w:rPr>
          <w:rFonts w:asciiTheme="majorBidi" w:hAnsiTheme="majorBidi" w:cstheme="majorBidi"/>
          <w:color w:val="000000"/>
          <w:sz w:val="24"/>
          <w:szCs w:val="24"/>
          <w:lang w:eastAsia="ar-SA"/>
        </w:rPr>
        <w:t>Hazem</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Zakaria</w:t>
      </w:r>
      <w:proofErr w:type="spellEnd"/>
      <w:r w:rsidRPr="003A3933">
        <w:rPr>
          <w:rFonts w:asciiTheme="majorBidi" w:hAnsiTheme="majorBidi" w:cstheme="majorBidi"/>
          <w:color w:val="000000"/>
          <w:sz w:val="24"/>
          <w:szCs w:val="24"/>
          <w:lang w:eastAsia="ar-SA"/>
        </w:rPr>
        <w:t xml:space="preserve">, MD(1), </w:t>
      </w:r>
      <w:proofErr w:type="spellStart"/>
      <w:r w:rsidRPr="003A3933">
        <w:rPr>
          <w:rFonts w:asciiTheme="majorBidi" w:hAnsiTheme="majorBidi" w:cstheme="majorBidi"/>
          <w:color w:val="000000"/>
          <w:sz w:val="24"/>
          <w:szCs w:val="24"/>
          <w:lang w:eastAsia="ar-SA"/>
        </w:rPr>
        <w:t>Yasmin</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Kamel</w:t>
      </w:r>
      <w:proofErr w:type="spellEnd"/>
      <w:r w:rsidRPr="003A3933">
        <w:rPr>
          <w:rFonts w:asciiTheme="majorBidi" w:hAnsiTheme="majorBidi" w:cstheme="majorBidi"/>
          <w:color w:val="000000"/>
          <w:sz w:val="24"/>
          <w:szCs w:val="24"/>
          <w:lang w:eastAsia="ar-SA"/>
        </w:rPr>
        <w:t xml:space="preserve"> MD(2), </w:t>
      </w:r>
      <w:proofErr w:type="spellStart"/>
      <w:r w:rsidRPr="003A3933">
        <w:rPr>
          <w:rFonts w:asciiTheme="majorBidi" w:hAnsiTheme="majorBidi" w:cstheme="majorBidi"/>
          <w:color w:val="000000"/>
          <w:sz w:val="24"/>
          <w:szCs w:val="24"/>
          <w:lang w:eastAsia="ar-SA"/>
        </w:rPr>
        <w:t>Talat</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Zakaria</w:t>
      </w:r>
      <w:proofErr w:type="spellEnd"/>
      <w:r w:rsidRPr="003A3933">
        <w:rPr>
          <w:rFonts w:asciiTheme="majorBidi" w:hAnsiTheme="majorBidi" w:cstheme="majorBidi"/>
          <w:color w:val="000000"/>
          <w:sz w:val="24"/>
          <w:szCs w:val="24"/>
          <w:lang w:eastAsia="ar-SA"/>
        </w:rPr>
        <w:t xml:space="preserve"> MD (3), Mohamed </w:t>
      </w:r>
      <w:proofErr w:type="spellStart"/>
      <w:r w:rsidRPr="003A3933">
        <w:rPr>
          <w:rFonts w:asciiTheme="majorBidi" w:hAnsiTheme="majorBidi" w:cstheme="majorBidi"/>
          <w:color w:val="000000"/>
          <w:sz w:val="24"/>
          <w:szCs w:val="24"/>
          <w:lang w:eastAsia="ar-SA"/>
        </w:rPr>
        <w:t>Abbasy</w:t>
      </w:r>
      <w:proofErr w:type="spellEnd"/>
      <w:r w:rsidRPr="003A3933">
        <w:rPr>
          <w:rFonts w:asciiTheme="majorBidi" w:hAnsiTheme="majorBidi" w:cstheme="majorBidi"/>
          <w:color w:val="000000"/>
          <w:sz w:val="24"/>
          <w:szCs w:val="24"/>
          <w:lang w:eastAsia="ar-SA"/>
        </w:rPr>
        <w:t xml:space="preserve"> MD (3), Ali Nada MD (3),  Mohamed </w:t>
      </w:r>
      <w:proofErr w:type="spellStart"/>
      <w:r w:rsidRPr="003A3933">
        <w:rPr>
          <w:rFonts w:asciiTheme="majorBidi" w:hAnsiTheme="majorBidi" w:cstheme="majorBidi"/>
          <w:color w:val="000000"/>
          <w:sz w:val="24"/>
          <w:szCs w:val="24"/>
          <w:lang w:eastAsia="ar-SA"/>
        </w:rPr>
        <w:t>Housseni</w:t>
      </w:r>
      <w:proofErr w:type="spellEnd"/>
      <w:r w:rsidRPr="003A3933">
        <w:rPr>
          <w:rFonts w:asciiTheme="majorBidi" w:hAnsiTheme="majorBidi" w:cstheme="majorBidi"/>
          <w:color w:val="000000"/>
          <w:sz w:val="24"/>
          <w:szCs w:val="24"/>
          <w:lang w:eastAsia="ar-SA"/>
        </w:rPr>
        <w:t xml:space="preserve"> MD (4)</w:t>
      </w:r>
    </w:p>
    <w:p w:rsidR="00A63864" w:rsidRPr="003A3933" w:rsidRDefault="00A63864" w:rsidP="00A63864">
      <w:pPr>
        <w:pStyle w:val="ListParagraph"/>
        <w:numPr>
          <w:ilvl w:val="0"/>
          <w:numId w:val="1"/>
        </w:numPr>
        <w:bidi w:val="0"/>
        <w:spacing w:line="480" w:lineRule="auto"/>
        <w:jc w:val="lowKashida"/>
        <w:rPr>
          <w:rFonts w:asciiTheme="majorBidi" w:hAnsiTheme="majorBidi" w:cstheme="majorBidi"/>
          <w:color w:val="000000"/>
          <w:sz w:val="24"/>
          <w:szCs w:val="24"/>
          <w:lang w:eastAsia="ar-SA"/>
        </w:rPr>
      </w:pPr>
      <w:proofErr w:type="spellStart"/>
      <w:r w:rsidRPr="003A3933">
        <w:rPr>
          <w:rFonts w:asciiTheme="majorBidi" w:hAnsiTheme="majorBidi" w:cstheme="majorBidi"/>
          <w:color w:val="000000"/>
          <w:sz w:val="24"/>
          <w:szCs w:val="24"/>
          <w:lang w:eastAsia="ar-SA"/>
        </w:rPr>
        <w:t>Hepatobiliary</w:t>
      </w:r>
      <w:proofErr w:type="spellEnd"/>
      <w:r w:rsidRPr="003A3933">
        <w:rPr>
          <w:rFonts w:asciiTheme="majorBidi" w:hAnsiTheme="majorBidi" w:cstheme="majorBidi"/>
          <w:color w:val="000000"/>
          <w:sz w:val="24"/>
          <w:szCs w:val="24"/>
          <w:lang w:eastAsia="ar-SA"/>
        </w:rPr>
        <w:t xml:space="preserve"> Surgery, National Liver Institute, </w:t>
      </w:r>
      <w:proofErr w:type="spellStart"/>
      <w:r w:rsidRPr="003A3933">
        <w:rPr>
          <w:rFonts w:asciiTheme="majorBidi" w:hAnsiTheme="majorBidi" w:cstheme="majorBidi"/>
          <w:color w:val="000000"/>
          <w:sz w:val="24"/>
          <w:szCs w:val="24"/>
          <w:lang w:eastAsia="ar-SA"/>
        </w:rPr>
        <w:t>Menoufiya</w:t>
      </w:r>
      <w:proofErr w:type="spellEnd"/>
      <w:r w:rsidRPr="003A3933">
        <w:rPr>
          <w:rFonts w:asciiTheme="majorBidi" w:hAnsiTheme="majorBidi" w:cstheme="majorBidi"/>
          <w:color w:val="000000"/>
          <w:sz w:val="24"/>
          <w:szCs w:val="24"/>
          <w:lang w:eastAsia="ar-SA"/>
        </w:rPr>
        <w:t xml:space="preserve"> </w:t>
      </w:r>
      <w:proofErr w:type="gramStart"/>
      <w:r w:rsidRPr="003A3933">
        <w:rPr>
          <w:rFonts w:asciiTheme="majorBidi" w:hAnsiTheme="majorBidi" w:cstheme="majorBidi"/>
          <w:color w:val="000000"/>
          <w:sz w:val="24"/>
          <w:szCs w:val="24"/>
          <w:lang w:eastAsia="ar-SA"/>
        </w:rPr>
        <w:t>university</w:t>
      </w:r>
      <w:proofErr w:type="gram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Shebein</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Elkoum</w:t>
      </w:r>
      <w:proofErr w:type="spellEnd"/>
      <w:r w:rsidRPr="003A3933">
        <w:rPr>
          <w:rFonts w:asciiTheme="majorBidi" w:hAnsiTheme="majorBidi" w:cstheme="majorBidi"/>
          <w:color w:val="000000"/>
          <w:sz w:val="24"/>
          <w:szCs w:val="24"/>
          <w:lang w:eastAsia="ar-SA"/>
        </w:rPr>
        <w:t xml:space="preserve">, Egypt. </w:t>
      </w:r>
    </w:p>
    <w:p w:rsidR="00A63864" w:rsidRPr="003A3933" w:rsidRDefault="00A63864" w:rsidP="00A63864">
      <w:pPr>
        <w:bidi w:val="0"/>
        <w:spacing w:line="480" w:lineRule="auto"/>
        <w:ind w:left="360"/>
        <w:jc w:val="lowKashida"/>
        <w:rPr>
          <w:rFonts w:asciiTheme="majorBidi" w:hAnsiTheme="majorBidi" w:cstheme="majorBidi"/>
          <w:color w:val="000000"/>
          <w:sz w:val="24"/>
          <w:szCs w:val="24"/>
          <w:lang w:eastAsia="ar-SA"/>
        </w:rPr>
      </w:pPr>
      <w:r w:rsidRPr="003A3933">
        <w:rPr>
          <w:rFonts w:asciiTheme="majorBidi" w:hAnsiTheme="majorBidi" w:cstheme="majorBidi"/>
          <w:sz w:val="24"/>
          <w:szCs w:val="24"/>
        </w:rPr>
        <w:t xml:space="preserve">(2) </w:t>
      </w:r>
      <w:proofErr w:type="spellStart"/>
      <w:r w:rsidRPr="003A3933">
        <w:rPr>
          <w:rFonts w:asciiTheme="majorBidi" w:hAnsiTheme="majorBidi" w:cstheme="majorBidi"/>
          <w:sz w:val="24"/>
          <w:szCs w:val="24"/>
        </w:rPr>
        <w:t>Anaesthesia</w:t>
      </w:r>
      <w:proofErr w:type="spellEnd"/>
      <w:r w:rsidRPr="003A3933">
        <w:rPr>
          <w:rFonts w:asciiTheme="majorBidi" w:hAnsiTheme="majorBidi" w:cstheme="majorBidi"/>
          <w:sz w:val="24"/>
          <w:szCs w:val="24"/>
        </w:rPr>
        <w:t xml:space="preserve">, </w:t>
      </w:r>
      <w:r w:rsidRPr="003A3933">
        <w:rPr>
          <w:rFonts w:asciiTheme="majorBidi" w:hAnsiTheme="majorBidi" w:cstheme="majorBidi"/>
          <w:color w:val="000000"/>
          <w:sz w:val="24"/>
          <w:szCs w:val="24"/>
          <w:lang w:eastAsia="ar-SA"/>
        </w:rPr>
        <w:t xml:space="preserve">National Liver Institute, </w:t>
      </w:r>
      <w:proofErr w:type="spellStart"/>
      <w:r w:rsidRPr="003A3933">
        <w:rPr>
          <w:rFonts w:asciiTheme="majorBidi" w:hAnsiTheme="majorBidi" w:cstheme="majorBidi"/>
          <w:color w:val="000000"/>
          <w:sz w:val="24"/>
          <w:szCs w:val="24"/>
          <w:lang w:eastAsia="ar-SA"/>
        </w:rPr>
        <w:t>Menoufiya</w:t>
      </w:r>
      <w:proofErr w:type="spellEnd"/>
      <w:r w:rsidRPr="003A3933">
        <w:rPr>
          <w:rFonts w:asciiTheme="majorBidi" w:hAnsiTheme="majorBidi" w:cstheme="majorBidi"/>
          <w:color w:val="000000"/>
          <w:sz w:val="24"/>
          <w:szCs w:val="24"/>
          <w:lang w:eastAsia="ar-SA"/>
        </w:rPr>
        <w:t xml:space="preserve"> </w:t>
      </w:r>
      <w:proofErr w:type="gramStart"/>
      <w:r w:rsidRPr="003A3933">
        <w:rPr>
          <w:rFonts w:asciiTheme="majorBidi" w:hAnsiTheme="majorBidi" w:cstheme="majorBidi"/>
          <w:color w:val="000000"/>
          <w:sz w:val="24"/>
          <w:szCs w:val="24"/>
          <w:lang w:eastAsia="ar-SA"/>
        </w:rPr>
        <w:t>university</w:t>
      </w:r>
      <w:proofErr w:type="gram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Shebein</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Elkoum</w:t>
      </w:r>
      <w:proofErr w:type="spellEnd"/>
      <w:r w:rsidRPr="003A3933">
        <w:rPr>
          <w:rFonts w:asciiTheme="majorBidi" w:hAnsiTheme="majorBidi" w:cstheme="majorBidi"/>
          <w:color w:val="000000"/>
          <w:sz w:val="24"/>
          <w:szCs w:val="24"/>
          <w:lang w:eastAsia="ar-SA"/>
        </w:rPr>
        <w:t>, Egypt.</w:t>
      </w:r>
    </w:p>
    <w:p w:rsidR="00A63864" w:rsidRPr="003A3933" w:rsidRDefault="00A63864" w:rsidP="00A63864">
      <w:pPr>
        <w:bidi w:val="0"/>
        <w:spacing w:line="480" w:lineRule="auto"/>
        <w:ind w:left="360"/>
        <w:jc w:val="lowKashida"/>
        <w:rPr>
          <w:rFonts w:asciiTheme="majorBidi" w:hAnsiTheme="majorBidi" w:cstheme="majorBidi"/>
          <w:color w:val="000000"/>
          <w:sz w:val="24"/>
          <w:szCs w:val="24"/>
          <w:lang w:eastAsia="ar-SA"/>
        </w:rPr>
      </w:pPr>
      <w:r w:rsidRPr="003A3933">
        <w:rPr>
          <w:rFonts w:asciiTheme="majorBidi" w:hAnsiTheme="majorBidi" w:cstheme="majorBidi"/>
          <w:color w:val="000000"/>
          <w:sz w:val="24"/>
          <w:szCs w:val="24"/>
          <w:lang w:eastAsia="ar-SA"/>
        </w:rPr>
        <w:t xml:space="preserve">(3) </w:t>
      </w:r>
      <w:proofErr w:type="spellStart"/>
      <w:r w:rsidRPr="003A3933">
        <w:rPr>
          <w:rFonts w:asciiTheme="majorBidi" w:hAnsiTheme="majorBidi" w:cstheme="majorBidi"/>
          <w:color w:val="000000"/>
          <w:sz w:val="24"/>
          <w:szCs w:val="24"/>
          <w:lang w:eastAsia="ar-SA"/>
        </w:rPr>
        <w:t>Hepatology</w:t>
      </w:r>
      <w:proofErr w:type="spellEnd"/>
      <w:r w:rsidRPr="003A3933">
        <w:rPr>
          <w:rFonts w:asciiTheme="majorBidi" w:hAnsiTheme="majorBidi" w:cstheme="majorBidi"/>
          <w:color w:val="000000"/>
          <w:sz w:val="24"/>
          <w:szCs w:val="24"/>
          <w:lang w:eastAsia="ar-SA"/>
        </w:rPr>
        <w:t xml:space="preserve"> and endoscopy</w:t>
      </w:r>
      <w:proofErr w:type="gramStart"/>
      <w:r w:rsidRPr="003A3933">
        <w:rPr>
          <w:rFonts w:asciiTheme="majorBidi" w:hAnsiTheme="majorBidi" w:cstheme="majorBidi"/>
          <w:color w:val="000000"/>
          <w:sz w:val="24"/>
          <w:szCs w:val="24"/>
          <w:lang w:eastAsia="ar-SA"/>
        </w:rPr>
        <w:t>,  National</w:t>
      </w:r>
      <w:proofErr w:type="gramEnd"/>
      <w:r w:rsidRPr="003A3933">
        <w:rPr>
          <w:rFonts w:asciiTheme="majorBidi" w:hAnsiTheme="majorBidi" w:cstheme="majorBidi"/>
          <w:color w:val="000000"/>
          <w:sz w:val="24"/>
          <w:szCs w:val="24"/>
          <w:lang w:eastAsia="ar-SA"/>
        </w:rPr>
        <w:t xml:space="preserve"> Liver Institute, </w:t>
      </w:r>
      <w:proofErr w:type="spellStart"/>
      <w:r w:rsidRPr="003A3933">
        <w:rPr>
          <w:rFonts w:asciiTheme="majorBidi" w:hAnsiTheme="majorBidi" w:cstheme="majorBidi"/>
          <w:color w:val="000000"/>
          <w:sz w:val="24"/>
          <w:szCs w:val="24"/>
          <w:lang w:eastAsia="ar-SA"/>
        </w:rPr>
        <w:t>Menoufiya</w:t>
      </w:r>
      <w:proofErr w:type="spellEnd"/>
      <w:r w:rsidRPr="003A3933">
        <w:rPr>
          <w:rFonts w:asciiTheme="majorBidi" w:hAnsiTheme="majorBidi" w:cstheme="majorBidi"/>
          <w:color w:val="000000"/>
          <w:sz w:val="24"/>
          <w:szCs w:val="24"/>
          <w:lang w:eastAsia="ar-SA"/>
        </w:rPr>
        <w:t xml:space="preserve"> university, </w:t>
      </w:r>
      <w:proofErr w:type="spellStart"/>
      <w:r w:rsidRPr="003A3933">
        <w:rPr>
          <w:rFonts w:asciiTheme="majorBidi" w:hAnsiTheme="majorBidi" w:cstheme="majorBidi"/>
          <w:color w:val="000000"/>
          <w:sz w:val="24"/>
          <w:szCs w:val="24"/>
          <w:lang w:eastAsia="ar-SA"/>
        </w:rPr>
        <w:t>Shebein</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Elkoum</w:t>
      </w:r>
      <w:proofErr w:type="spellEnd"/>
      <w:r w:rsidRPr="003A3933">
        <w:rPr>
          <w:rFonts w:asciiTheme="majorBidi" w:hAnsiTheme="majorBidi" w:cstheme="majorBidi"/>
          <w:color w:val="000000"/>
          <w:sz w:val="24"/>
          <w:szCs w:val="24"/>
          <w:lang w:eastAsia="ar-SA"/>
        </w:rPr>
        <w:t>, Egypt.</w:t>
      </w:r>
    </w:p>
    <w:p w:rsidR="00A63864" w:rsidRPr="003A3933" w:rsidRDefault="00A63864" w:rsidP="00A63864">
      <w:pPr>
        <w:bidi w:val="0"/>
        <w:spacing w:line="480" w:lineRule="auto"/>
        <w:ind w:left="360"/>
        <w:jc w:val="lowKashida"/>
        <w:rPr>
          <w:rFonts w:asciiTheme="majorBidi" w:hAnsiTheme="majorBidi" w:cstheme="majorBidi"/>
          <w:color w:val="000000"/>
          <w:sz w:val="24"/>
          <w:szCs w:val="24"/>
          <w:lang w:eastAsia="ar-SA"/>
        </w:rPr>
      </w:pPr>
      <w:r w:rsidRPr="003A3933">
        <w:rPr>
          <w:rFonts w:asciiTheme="majorBidi" w:hAnsiTheme="majorBidi" w:cstheme="majorBidi"/>
          <w:color w:val="000000"/>
          <w:sz w:val="24"/>
          <w:szCs w:val="24"/>
          <w:lang w:eastAsia="ar-SA"/>
        </w:rPr>
        <w:t xml:space="preserve">(4) </w:t>
      </w:r>
      <w:proofErr w:type="spellStart"/>
      <w:r w:rsidRPr="003A3933">
        <w:rPr>
          <w:rFonts w:asciiTheme="majorBidi" w:hAnsiTheme="majorBidi" w:cstheme="majorBidi"/>
          <w:color w:val="000000"/>
          <w:sz w:val="24"/>
          <w:szCs w:val="24"/>
          <w:lang w:eastAsia="ar-SA"/>
        </w:rPr>
        <w:t>Radioligy</w:t>
      </w:r>
      <w:proofErr w:type="spellEnd"/>
      <w:r w:rsidRPr="003A3933">
        <w:rPr>
          <w:rFonts w:asciiTheme="majorBidi" w:hAnsiTheme="majorBidi" w:cstheme="majorBidi"/>
          <w:color w:val="000000"/>
          <w:sz w:val="24"/>
          <w:szCs w:val="24"/>
          <w:lang w:eastAsia="ar-SA"/>
        </w:rPr>
        <w:t xml:space="preserve">, National Liver Institute, </w:t>
      </w:r>
      <w:proofErr w:type="spellStart"/>
      <w:r w:rsidRPr="003A3933">
        <w:rPr>
          <w:rFonts w:asciiTheme="majorBidi" w:hAnsiTheme="majorBidi" w:cstheme="majorBidi"/>
          <w:color w:val="000000"/>
          <w:sz w:val="24"/>
          <w:szCs w:val="24"/>
          <w:lang w:eastAsia="ar-SA"/>
        </w:rPr>
        <w:t>Menoufiya</w:t>
      </w:r>
      <w:proofErr w:type="spellEnd"/>
      <w:r w:rsidRPr="003A3933">
        <w:rPr>
          <w:rFonts w:asciiTheme="majorBidi" w:hAnsiTheme="majorBidi" w:cstheme="majorBidi"/>
          <w:color w:val="000000"/>
          <w:sz w:val="24"/>
          <w:szCs w:val="24"/>
          <w:lang w:eastAsia="ar-SA"/>
        </w:rPr>
        <w:t xml:space="preserve"> </w:t>
      </w:r>
      <w:proofErr w:type="gramStart"/>
      <w:r w:rsidRPr="003A3933">
        <w:rPr>
          <w:rFonts w:asciiTheme="majorBidi" w:hAnsiTheme="majorBidi" w:cstheme="majorBidi"/>
          <w:color w:val="000000"/>
          <w:sz w:val="24"/>
          <w:szCs w:val="24"/>
          <w:lang w:eastAsia="ar-SA"/>
        </w:rPr>
        <w:t>university</w:t>
      </w:r>
      <w:proofErr w:type="gram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Shebein</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Elkoum</w:t>
      </w:r>
      <w:proofErr w:type="spellEnd"/>
      <w:r w:rsidRPr="003A3933">
        <w:rPr>
          <w:rFonts w:asciiTheme="majorBidi" w:hAnsiTheme="majorBidi" w:cstheme="majorBidi"/>
          <w:color w:val="000000"/>
          <w:sz w:val="24"/>
          <w:szCs w:val="24"/>
          <w:lang w:eastAsia="ar-SA"/>
        </w:rPr>
        <w:t>, Egypt.</w:t>
      </w:r>
    </w:p>
    <w:p w:rsidR="003A3933" w:rsidRPr="003A3933" w:rsidRDefault="003A3933" w:rsidP="003A3933">
      <w:pPr>
        <w:bidi w:val="0"/>
        <w:spacing w:line="480" w:lineRule="auto"/>
        <w:ind w:left="360"/>
        <w:jc w:val="lowKashida"/>
        <w:rPr>
          <w:rFonts w:asciiTheme="majorBidi" w:hAnsiTheme="majorBidi" w:cstheme="majorBidi"/>
          <w:color w:val="000000"/>
          <w:sz w:val="24"/>
          <w:szCs w:val="24"/>
          <w:lang w:eastAsia="ar-SA"/>
        </w:rPr>
      </w:pPr>
      <w:r w:rsidRPr="003A3933">
        <w:rPr>
          <w:rFonts w:asciiTheme="majorBidi" w:hAnsiTheme="majorBidi" w:cstheme="majorBidi"/>
          <w:color w:val="000000"/>
          <w:sz w:val="24"/>
          <w:szCs w:val="24"/>
          <w:lang w:eastAsia="ar-SA"/>
        </w:rPr>
        <w:t xml:space="preserve">Corresponding author: </w:t>
      </w:r>
      <w:proofErr w:type="spellStart"/>
      <w:r w:rsidRPr="003A3933">
        <w:rPr>
          <w:rFonts w:asciiTheme="majorBidi" w:hAnsiTheme="majorBidi" w:cstheme="majorBidi"/>
          <w:color w:val="000000"/>
          <w:sz w:val="24"/>
          <w:szCs w:val="24"/>
          <w:lang w:eastAsia="ar-SA"/>
        </w:rPr>
        <w:t>Emad</w:t>
      </w:r>
      <w:proofErr w:type="spellEnd"/>
      <w:r w:rsidRPr="003A3933">
        <w:rPr>
          <w:rFonts w:asciiTheme="majorBidi" w:hAnsiTheme="majorBidi" w:cstheme="majorBidi"/>
          <w:color w:val="000000"/>
          <w:sz w:val="24"/>
          <w:szCs w:val="24"/>
          <w:lang w:eastAsia="ar-SA"/>
        </w:rPr>
        <w:t xml:space="preserve"> </w:t>
      </w:r>
      <w:proofErr w:type="spellStart"/>
      <w:r w:rsidRPr="003A3933">
        <w:rPr>
          <w:rFonts w:asciiTheme="majorBidi" w:hAnsiTheme="majorBidi" w:cstheme="majorBidi"/>
          <w:color w:val="000000"/>
          <w:sz w:val="24"/>
          <w:szCs w:val="24"/>
          <w:lang w:eastAsia="ar-SA"/>
        </w:rPr>
        <w:t>Hamdy</w:t>
      </w:r>
      <w:proofErr w:type="spellEnd"/>
      <w:r w:rsidRPr="003A3933">
        <w:rPr>
          <w:rFonts w:asciiTheme="majorBidi" w:hAnsiTheme="majorBidi" w:cstheme="majorBidi"/>
          <w:color w:val="000000"/>
          <w:sz w:val="24"/>
          <w:szCs w:val="24"/>
          <w:lang w:eastAsia="ar-SA"/>
        </w:rPr>
        <w:t xml:space="preserve"> Gad, emadgadsalemaa@yahoo.com</w:t>
      </w:r>
    </w:p>
    <w:p w:rsidR="00655B73" w:rsidRPr="003A3933" w:rsidRDefault="00655B73" w:rsidP="00A63864">
      <w:pPr>
        <w:bidi w:val="0"/>
        <w:jc w:val="both"/>
        <w:rPr>
          <w:rFonts w:asciiTheme="majorBidi" w:hAnsiTheme="majorBidi" w:cstheme="majorBidi"/>
          <w:sz w:val="24"/>
          <w:szCs w:val="24"/>
          <w:lang w:bidi="ar-EG"/>
        </w:rPr>
      </w:pPr>
      <w:r w:rsidRPr="003A3933">
        <w:rPr>
          <w:rFonts w:asciiTheme="majorBidi" w:hAnsiTheme="majorBidi" w:cstheme="majorBidi"/>
          <w:sz w:val="24"/>
          <w:szCs w:val="24"/>
          <w:lang w:bidi="ar-EG"/>
        </w:rPr>
        <w:t>Abstract</w:t>
      </w:r>
    </w:p>
    <w:p w:rsidR="00655B73" w:rsidRPr="003A3933" w:rsidRDefault="00655B73" w:rsidP="000E7EC5">
      <w:pPr>
        <w:bidi w:val="0"/>
        <w:spacing w:line="360" w:lineRule="auto"/>
        <w:jc w:val="both"/>
        <w:rPr>
          <w:rFonts w:asciiTheme="majorBidi" w:hAnsiTheme="majorBidi" w:cstheme="majorBidi"/>
          <w:sz w:val="24"/>
          <w:szCs w:val="24"/>
          <w:lang w:bidi="ar-EG"/>
        </w:rPr>
      </w:pPr>
      <w:r w:rsidRPr="003A3933">
        <w:rPr>
          <w:rFonts w:asciiTheme="majorBidi" w:hAnsiTheme="majorBidi" w:cstheme="majorBidi"/>
          <w:b/>
          <w:bCs/>
          <w:sz w:val="24"/>
          <w:szCs w:val="24"/>
          <w:lang w:bidi="ar-EG"/>
        </w:rPr>
        <w:t>Objectives</w:t>
      </w:r>
      <w:r w:rsidRPr="003A3933">
        <w:rPr>
          <w:rFonts w:asciiTheme="majorBidi" w:hAnsiTheme="majorBidi" w:cstheme="majorBidi"/>
          <w:sz w:val="24"/>
          <w:szCs w:val="24"/>
          <w:lang w:bidi="ar-EG"/>
        </w:rPr>
        <w:t xml:space="preserve">: For complicated large difficult CBD stones that cannot be extracted by ERCP, patients can be managed safely by open or laparoscopic CBD exploration. The aim of this study was to assess these surgical procedures of CBDE after endoscopic failure. </w:t>
      </w:r>
      <w:r w:rsidRPr="003A3933">
        <w:rPr>
          <w:rFonts w:asciiTheme="majorBidi" w:hAnsiTheme="majorBidi" w:cstheme="majorBidi"/>
          <w:b/>
          <w:bCs/>
          <w:sz w:val="24"/>
          <w:szCs w:val="24"/>
          <w:lang w:bidi="ar-EG"/>
        </w:rPr>
        <w:t>Methods</w:t>
      </w:r>
      <w:r w:rsidRPr="003A3933">
        <w:rPr>
          <w:rFonts w:asciiTheme="majorBidi" w:hAnsiTheme="majorBidi" w:cstheme="majorBidi"/>
          <w:sz w:val="24"/>
          <w:szCs w:val="24"/>
          <w:lang w:bidi="ar-EG"/>
        </w:rPr>
        <w:t xml:space="preserve">: We retrospectively reviewed and analyzed 85 patients underwent surgical management of large difficult CBD stones after ERCP failure, in the period from mid 2013 to </w:t>
      </w:r>
      <w:r w:rsidR="00F168FE">
        <w:rPr>
          <w:rFonts w:asciiTheme="majorBidi" w:hAnsiTheme="majorBidi" w:cstheme="majorBidi"/>
          <w:sz w:val="24"/>
          <w:szCs w:val="24"/>
          <w:lang w:bidi="ar-EG"/>
        </w:rPr>
        <w:t xml:space="preserve">mid </w:t>
      </w:r>
      <w:r w:rsidRPr="003A3933">
        <w:rPr>
          <w:rFonts w:asciiTheme="majorBidi" w:hAnsiTheme="majorBidi" w:cstheme="majorBidi"/>
          <w:sz w:val="24"/>
          <w:szCs w:val="24"/>
          <w:lang w:bidi="ar-EG"/>
        </w:rPr>
        <w:t xml:space="preserve">2018. The overall male/female ratio was 27/58. </w:t>
      </w:r>
      <w:r w:rsidRPr="003A3933">
        <w:rPr>
          <w:rFonts w:asciiTheme="majorBidi" w:hAnsiTheme="majorBidi" w:cstheme="majorBidi"/>
          <w:b/>
          <w:bCs/>
          <w:sz w:val="24"/>
          <w:szCs w:val="24"/>
          <w:lang w:bidi="ar-EG"/>
        </w:rPr>
        <w:t>Results</w:t>
      </w:r>
      <w:r w:rsidRPr="003A3933">
        <w:rPr>
          <w:rFonts w:asciiTheme="majorBidi" w:hAnsiTheme="majorBidi" w:cstheme="majorBidi"/>
          <w:sz w:val="24"/>
          <w:szCs w:val="24"/>
          <w:lang w:bidi="ar-EG"/>
        </w:rPr>
        <w:t xml:space="preserve">: Sixty seven (78.8%) and 18(21.2%) of our patients underwent single and multiple ERCP sessions respectively with significant correlation between number of ERCP sessions and post ERCP complications (P=0.001).  Impacted large stone was the most frequent cause of ERCP failure (60%). LCBDE and OCBDE were 29.4% (n=25) and 70.6% (n=60) respectively. Primary CBD repair, T-tube insertion, HJ and TDS were done in 45.9%, 40%, 8.3% and 5.9% respectively. The mean operative time and hospital stay were 185± 61.4 minutes and 4.9±2.07 days respectively. Eleven (12.9%) of our </w:t>
      </w:r>
      <w:r w:rsidRPr="003A3933">
        <w:rPr>
          <w:rFonts w:asciiTheme="majorBidi" w:hAnsiTheme="majorBidi" w:cstheme="majorBidi"/>
          <w:sz w:val="24"/>
          <w:szCs w:val="24"/>
          <w:lang w:bidi="ar-EG"/>
        </w:rPr>
        <w:lastRenderedPageBreak/>
        <w:t xml:space="preserve">patients had post operative complications without mortality. By comparing LCBDE and OCBDE groups, patient age and hospital stay were significantly lower in laparoscopic group, while, T-tube insertion, </w:t>
      </w:r>
      <w:proofErr w:type="spellStart"/>
      <w:r w:rsidRPr="003A3933">
        <w:rPr>
          <w:rFonts w:asciiTheme="majorBidi" w:hAnsiTheme="majorBidi" w:cstheme="majorBidi"/>
          <w:sz w:val="24"/>
          <w:szCs w:val="24"/>
          <w:lang w:bidi="ar-EG"/>
        </w:rPr>
        <w:t>choledocoscope</w:t>
      </w:r>
      <w:proofErr w:type="spellEnd"/>
      <w:r w:rsidRPr="003A3933">
        <w:rPr>
          <w:rFonts w:asciiTheme="majorBidi" w:hAnsiTheme="majorBidi" w:cstheme="majorBidi"/>
          <w:sz w:val="24"/>
          <w:szCs w:val="24"/>
          <w:lang w:bidi="ar-EG"/>
        </w:rPr>
        <w:t xml:space="preserve"> use, operative time and post operative bile leak were significantly higher. Furthermore, patients underwent</w:t>
      </w:r>
      <w:r w:rsidRPr="003A3933">
        <w:rPr>
          <w:sz w:val="24"/>
          <w:szCs w:val="24"/>
        </w:rPr>
        <w:t xml:space="preserve"> </w:t>
      </w:r>
      <w:proofErr w:type="spellStart"/>
      <w:r w:rsidRPr="003A3933">
        <w:rPr>
          <w:rFonts w:asciiTheme="majorBidi" w:hAnsiTheme="majorBidi" w:cstheme="majorBidi"/>
          <w:sz w:val="24"/>
          <w:szCs w:val="24"/>
          <w:lang w:bidi="ar-EG"/>
        </w:rPr>
        <w:t>choledocoscope</w:t>
      </w:r>
      <w:proofErr w:type="spellEnd"/>
      <w:r w:rsidRPr="003A3933">
        <w:rPr>
          <w:rFonts w:asciiTheme="majorBidi" w:hAnsiTheme="majorBidi" w:cstheme="majorBidi"/>
          <w:sz w:val="24"/>
          <w:szCs w:val="24"/>
          <w:lang w:bidi="ar-EG"/>
        </w:rPr>
        <w:t xml:space="preserve"> had significant direction to primary CBD repair and lower missed stones rate. While, on comparing T-tube with primary closure of CBD groups, there was significant lower operative time and hospital stay in the later. </w:t>
      </w:r>
      <w:r w:rsidRPr="003A3933">
        <w:rPr>
          <w:rFonts w:asciiTheme="majorBidi" w:hAnsiTheme="majorBidi" w:cstheme="majorBidi"/>
          <w:b/>
          <w:bCs/>
          <w:sz w:val="24"/>
          <w:szCs w:val="24"/>
          <w:lang w:bidi="ar-EG"/>
        </w:rPr>
        <w:t>Conclusion</w:t>
      </w:r>
      <w:r w:rsidRPr="003A3933">
        <w:rPr>
          <w:rFonts w:asciiTheme="majorBidi" w:hAnsiTheme="majorBidi" w:cstheme="majorBidi"/>
          <w:sz w:val="24"/>
          <w:szCs w:val="24"/>
          <w:lang w:bidi="ar-EG"/>
        </w:rPr>
        <w:t xml:space="preserve">: Large difficult CBD stones can be managed either by open surgery or </w:t>
      </w:r>
      <w:proofErr w:type="spellStart"/>
      <w:r w:rsidRPr="003A3933">
        <w:rPr>
          <w:rFonts w:asciiTheme="majorBidi" w:hAnsiTheme="majorBidi" w:cstheme="majorBidi"/>
          <w:sz w:val="24"/>
          <w:szCs w:val="24"/>
          <w:lang w:bidi="ar-EG"/>
        </w:rPr>
        <w:t>laparoscopically</w:t>
      </w:r>
      <w:proofErr w:type="spellEnd"/>
      <w:r w:rsidRPr="003A3933">
        <w:rPr>
          <w:rFonts w:asciiTheme="majorBidi" w:hAnsiTheme="majorBidi" w:cstheme="majorBidi"/>
          <w:sz w:val="24"/>
          <w:szCs w:val="24"/>
          <w:lang w:bidi="ar-EG"/>
        </w:rPr>
        <w:t xml:space="preserve"> with acceptable comparable outcomes with no need for multiple ERCP sessions due to their related morbidities; furthermore, </w:t>
      </w:r>
      <w:proofErr w:type="spellStart"/>
      <w:r w:rsidRPr="003A3933">
        <w:rPr>
          <w:rFonts w:asciiTheme="majorBidi" w:hAnsiTheme="majorBidi" w:cstheme="majorBidi"/>
          <w:sz w:val="24"/>
          <w:szCs w:val="24"/>
          <w:lang w:bidi="ar-EG"/>
        </w:rPr>
        <w:t>choledocoscope</w:t>
      </w:r>
      <w:proofErr w:type="spellEnd"/>
      <w:r w:rsidRPr="003A3933">
        <w:rPr>
          <w:rFonts w:asciiTheme="majorBidi" w:hAnsiTheme="majorBidi" w:cstheme="majorBidi"/>
          <w:sz w:val="24"/>
          <w:szCs w:val="24"/>
          <w:lang w:bidi="ar-EG"/>
        </w:rPr>
        <w:t xml:space="preserve"> has a good impact on stone clearance rate with direction towards doing primary repair that is better than T-tube regarding operative time and hospital stay.</w:t>
      </w:r>
      <w:r w:rsidRPr="003A3933">
        <w:rPr>
          <w:rFonts w:asciiTheme="majorBidi" w:hAnsiTheme="majorBidi" w:cstheme="majorBidi"/>
          <w:noProof/>
          <w:sz w:val="24"/>
          <w:szCs w:val="24"/>
        </w:rPr>
        <w:t xml:space="preserve"> </w:t>
      </w:r>
    </w:p>
    <w:p w:rsidR="003A3933" w:rsidRPr="003B2672" w:rsidRDefault="003A3933" w:rsidP="003A3933">
      <w:pPr>
        <w:autoSpaceDE w:val="0"/>
        <w:autoSpaceDN w:val="0"/>
        <w:bidi w:val="0"/>
        <w:adjustRightInd w:val="0"/>
        <w:jc w:val="both"/>
        <w:rPr>
          <w:rFonts w:asciiTheme="majorBidi" w:eastAsia="AdobeFangsongStd-Regular" w:hAnsiTheme="majorBidi" w:cstheme="majorBidi"/>
          <w:sz w:val="24"/>
          <w:szCs w:val="24"/>
          <w:lang w:bidi="ar-EG"/>
        </w:rPr>
      </w:pPr>
      <w:r>
        <w:rPr>
          <w:rFonts w:asciiTheme="majorBidi" w:eastAsia="AdobeFangsongStd-Regular" w:hAnsiTheme="majorBidi" w:cstheme="majorBidi"/>
          <w:sz w:val="24"/>
          <w:szCs w:val="24"/>
          <w:lang w:bidi="ar-EG"/>
        </w:rPr>
        <w:t xml:space="preserve">Recent publications: </w:t>
      </w:r>
    </w:p>
    <w:p w:rsidR="003A3933" w:rsidRPr="004D0CD2" w:rsidRDefault="003A3933" w:rsidP="003A3933">
      <w:pPr>
        <w:numPr>
          <w:ilvl w:val="0"/>
          <w:numId w:val="2"/>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eastAsia="AdobeFangsongStd-Regular" w:hAnsiTheme="majorBidi" w:cstheme="majorBidi"/>
          <w:sz w:val="24"/>
          <w:szCs w:val="24"/>
        </w:rPr>
        <w:t>Recurrent Hepatitis C Virus (Genotype 4) Infection after Living Donor Liver Transplantation: Risk Factors and Outcome (Main author), published in journal of liver, 2014, ISSN: 2167-0889 JLR, an open access journal.</w:t>
      </w:r>
    </w:p>
    <w:p w:rsidR="003A3933" w:rsidRPr="004D0CD2" w:rsidRDefault="003A3933" w:rsidP="003A3933">
      <w:pPr>
        <w:numPr>
          <w:ilvl w:val="0"/>
          <w:numId w:val="2"/>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eastAsia="AdobeFangsongStd-Regular" w:hAnsiTheme="majorBidi" w:cstheme="majorBidi"/>
          <w:sz w:val="24"/>
          <w:szCs w:val="24"/>
        </w:rPr>
        <w:t xml:space="preserve">     Predictors of Survival after Adult to Adult Living Donor Liver Transplantation (Main author) the full text was published in the international journal of surgical research and practice, an open access journal, September, 2014, volume 1, issue 1. </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t>Complications and mortality after adult to adult LDLT, A retrospective cohort study (Main author:</w:t>
      </w:r>
      <w:r w:rsidRPr="004D0CD2">
        <w:rPr>
          <w:rFonts w:asciiTheme="majorBidi" w:eastAsia="AdobeFangsongStd-Regular" w:hAnsiTheme="majorBidi" w:cstheme="majorBidi"/>
          <w:sz w:val="24"/>
          <w:szCs w:val="24"/>
        </w:rPr>
        <w:t xml:space="preserve"> the full text was published in </w:t>
      </w:r>
      <w:r w:rsidRPr="004D0CD2">
        <w:rPr>
          <w:rFonts w:asciiTheme="majorBidi" w:hAnsiTheme="majorBidi" w:cstheme="majorBidi"/>
          <w:sz w:val="24"/>
          <w:szCs w:val="24"/>
        </w:rPr>
        <w:t>Annals of Medicine and Surgery, 4 (2015) 162-171.</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eastAsia="AdobeFangsongStd-Regular" w:hAnsiTheme="majorBidi" w:cstheme="majorBidi"/>
          <w:sz w:val="24"/>
          <w:szCs w:val="24"/>
        </w:rPr>
      </w:pPr>
      <w:r w:rsidRPr="004D0CD2">
        <w:rPr>
          <w:rFonts w:asciiTheme="majorBidi" w:hAnsiTheme="majorBidi" w:cstheme="majorBidi"/>
          <w:sz w:val="24"/>
          <w:szCs w:val="24"/>
        </w:rPr>
        <w:t>Vascular Complications after Adult to Adult Living Donor Liver Transplantation: Single Center Experience</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(Main author):</w:t>
      </w:r>
      <w:r w:rsidRPr="004D0CD2">
        <w:rPr>
          <w:rFonts w:asciiTheme="majorBidi" w:eastAsia="AdobeFangsongStd-Regular" w:hAnsiTheme="majorBidi" w:cstheme="majorBidi"/>
          <w:sz w:val="24"/>
          <w:szCs w:val="24"/>
        </w:rPr>
        <w:t xml:space="preserve"> the full text was published in the international journal of surgical research and practice, an open access journal, September, 2014, volume 1, issue 1. </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 xml:space="preserve">Hepatic arterial and portal venous complications after adult and pediatric living donor liver transplantation, risk factors, management and outcome (A retrospective cohort study) (Main author). </w:t>
      </w:r>
      <w:proofErr w:type="gramStart"/>
      <w:r w:rsidRPr="004D0CD2">
        <w:rPr>
          <w:rFonts w:asciiTheme="majorBidi" w:hAnsiTheme="majorBidi" w:cstheme="majorBidi"/>
          <w:color w:val="000000"/>
          <w:sz w:val="24"/>
          <w:szCs w:val="24"/>
        </w:rPr>
        <w:t>the</w:t>
      </w:r>
      <w:proofErr w:type="gramEnd"/>
      <w:r w:rsidRPr="004D0CD2">
        <w:rPr>
          <w:rFonts w:asciiTheme="majorBidi" w:hAnsiTheme="majorBidi" w:cstheme="majorBidi"/>
          <w:color w:val="000000"/>
          <w:sz w:val="24"/>
          <w:szCs w:val="24"/>
        </w:rPr>
        <w:t xml:space="preserve"> full text was published in</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Annals of Medicine and Surgery journal, 8 (2016) 28-39.</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sidRPr="004D0CD2">
        <w:rPr>
          <w:rFonts w:asciiTheme="majorBidi" w:hAnsiTheme="majorBidi" w:cstheme="majorBidi"/>
          <w:sz w:val="24"/>
          <w:szCs w:val="24"/>
        </w:rPr>
        <w:t>Early (&lt;6 months) Mortality after Adult to Adult Living Donor Liver Transplantation, Single Centre Experience: A Retrospective Cohort Study. (Main author)</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color w:val="000000"/>
          <w:sz w:val="24"/>
          <w:szCs w:val="24"/>
        </w:rPr>
        <w:t xml:space="preserve">the full text was published in Journal of Liver: Disease &amp; Transplantation, Gad et al., J Liver: </w:t>
      </w:r>
      <w:proofErr w:type="spellStart"/>
      <w:r w:rsidRPr="004D0CD2">
        <w:rPr>
          <w:rFonts w:asciiTheme="majorBidi" w:hAnsiTheme="majorBidi" w:cstheme="majorBidi"/>
          <w:color w:val="000000"/>
          <w:sz w:val="24"/>
          <w:szCs w:val="24"/>
        </w:rPr>
        <w:t>Dis</w:t>
      </w:r>
      <w:proofErr w:type="spellEnd"/>
      <w:r w:rsidRPr="004D0CD2">
        <w:rPr>
          <w:rFonts w:asciiTheme="majorBidi" w:hAnsiTheme="majorBidi" w:cstheme="majorBidi"/>
          <w:color w:val="000000"/>
          <w:sz w:val="24"/>
          <w:szCs w:val="24"/>
        </w:rPr>
        <w:t xml:space="preserve"> Transplant 2016, 5:1, </w:t>
      </w:r>
      <w:proofErr w:type="spellStart"/>
      <w:r w:rsidRPr="004D0CD2">
        <w:rPr>
          <w:rFonts w:asciiTheme="majorBidi" w:hAnsiTheme="majorBidi" w:cstheme="majorBidi"/>
          <w:color w:val="000000"/>
          <w:sz w:val="24"/>
          <w:szCs w:val="24"/>
        </w:rPr>
        <w:t>doi:http</w:t>
      </w:r>
      <w:proofErr w:type="spellEnd"/>
      <w:r w:rsidRPr="004D0CD2">
        <w:rPr>
          <w:rFonts w:asciiTheme="majorBidi" w:hAnsiTheme="majorBidi" w:cstheme="majorBidi"/>
          <w:color w:val="000000"/>
          <w:sz w:val="24"/>
          <w:szCs w:val="24"/>
        </w:rPr>
        <w:t>://dx.doi.org/10.4172/2325-9612.1000135.</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sidRPr="004D0CD2">
        <w:rPr>
          <w:rFonts w:asciiTheme="majorBidi" w:hAnsiTheme="majorBidi" w:cstheme="majorBidi"/>
          <w:color w:val="000000"/>
          <w:sz w:val="24"/>
          <w:szCs w:val="24"/>
        </w:rPr>
        <w:t xml:space="preserve">Hepatic resection for </w:t>
      </w:r>
      <w:proofErr w:type="spellStart"/>
      <w:r w:rsidRPr="004D0CD2">
        <w:rPr>
          <w:rFonts w:asciiTheme="majorBidi" w:hAnsiTheme="majorBidi" w:cstheme="majorBidi"/>
          <w:color w:val="000000"/>
          <w:sz w:val="24"/>
          <w:szCs w:val="24"/>
        </w:rPr>
        <w:t>hepatocellular</w:t>
      </w:r>
      <w:proofErr w:type="spellEnd"/>
      <w:r w:rsidRPr="004D0CD2">
        <w:rPr>
          <w:rFonts w:asciiTheme="majorBidi" w:hAnsiTheme="majorBidi" w:cstheme="majorBidi"/>
          <w:color w:val="000000"/>
          <w:sz w:val="24"/>
          <w:szCs w:val="24"/>
        </w:rPr>
        <w:t xml:space="preserve"> carcinoma in cirrhotic patients with portal hypertension: the full text was published in</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Surgical practice journal: doi:10.1111/1744-1633.12215, Surgical Practice (2016) 20, 149–156</w:t>
      </w:r>
      <w:r w:rsidRPr="004D0CD2">
        <w:rPr>
          <w:rFonts w:asciiTheme="majorBidi" w:hAnsiTheme="majorBidi" w:cstheme="majorBidi"/>
          <w:color w:val="000000"/>
          <w:sz w:val="24"/>
          <w:szCs w:val="24"/>
        </w:rPr>
        <w:t>.</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t>Laparoscopic management of parasitic liver cysts: publication by  the Saudi Surgical Journal 2017;5:35-9</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sz w:val="24"/>
          <w:szCs w:val="24"/>
        </w:rPr>
      </w:pPr>
      <w:r w:rsidRPr="004D0CD2">
        <w:rPr>
          <w:rFonts w:asciiTheme="majorBidi" w:hAnsiTheme="majorBidi" w:cstheme="majorBidi"/>
          <w:sz w:val="24"/>
          <w:szCs w:val="24"/>
        </w:rPr>
        <w:lastRenderedPageBreak/>
        <w:t>Small for Size Syndrome difficult dilemma: lessons from 10 years single centre experience in living donor liver transplantation.</w:t>
      </w:r>
      <w:r w:rsidRPr="004D0CD2">
        <w:rPr>
          <w:rFonts w:asciiTheme="majorBidi" w:eastAsia="AdobeFangsongStd-Regular" w:hAnsiTheme="majorBidi" w:cstheme="majorBidi"/>
          <w:sz w:val="24"/>
          <w:szCs w:val="24"/>
        </w:rPr>
        <w:t xml:space="preserve"> The full text was published in world journal of </w:t>
      </w:r>
      <w:proofErr w:type="spellStart"/>
      <w:r w:rsidRPr="004D0CD2">
        <w:rPr>
          <w:rFonts w:asciiTheme="majorBidi" w:eastAsia="AdobeFangsongStd-Regular" w:hAnsiTheme="majorBidi" w:cstheme="majorBidi"/>
          <w:sz w:val="24"/>
          <w:szCs w:val="24"/>
        </w:rPr>
        <w:t>hepatology</w:t>
      </w:r>
      <w:proofErr w:type="spellEnd"/>
      <w:r w:rsidRPr="004D0CD2">
        <w:rPr>
          <w:rFonts w:asciiTheme="majorBidi" w:eastAsia="AdobeFangsongStd-Regular" w:hAnsiTheme="majorBidi" w:cstheme="majorBidi"/>
          <w:sz w:val="24"/>
          <w:szCs w:val="24"/>
        </w:rPr>
        <w:t xml:space="preserve"> World J </w:t>
      </w:r>
      <w:proofErr w:type="spellStart"/>
      <w:r w:rsidRPr="004D0CD2">
        <w:rPr>
          <w:rFonts w:asciiTheme="majorBidi" w:eastAsia="AdobeFangsongStd-Regular" w:hAnsiTheme="majorBidi" w:cstheme="majorBidi"/>
          <w:sz w:val="24"/>
          <w:szCs w:val="24"/>
        </w:rPr>
        <w:t>Hepatol</w:t>
      </w:r>
      <w:proofErr w:type="spellEnd"/>
      <w:r w:rsidRPr="004D0CD2">
        <w:rPr>
          <w:rFonts w:asciiTheme="majorBidi" w:eastAsia="AdobeFangsongStd-Regular" w:hAnsiTheme="majorBidi" w:cstheme="majorBidi"/>
          <w:sz w:val="24"/>
          <w:szCs w:val="24"/>
        </w:rPr>
        <w:t xml:space="preserve"> 2017 July 28; 9(21): 930-944.</w:t>
      </w:r>
    </w:p>
    <w:p w:rsidR="003A3933" w:rsidRPr="004D0CD2" w:rsidRDefault="003A3933" w:rsidP="003A3933">
      <w:pPr>
        <w:numPr>
          <w:ilvl w:val="0"/>
          <w:numId w:val="3"/>
        </w:numPr>
        <w:autoSpaceDE w:val="0"/>
        <w:autoSpaceDN w:val="0"/>
        <w:bidi w:val="0"/>
        <w:adjustRightInd w:val="0"/>
        <w:spacing w:after="0" w:line="240" w:lineRule="auto"/>
        <w:ind w:left="0" w:firstLine="0"/>
        <w:jc w:val="both"/>
        <w:rPr>
          <w:rFonts w:asciiTheme="majorBidi" w:hAnsiTheme="majorBidi" w:cstheme="majorBidi"/>
          <w:color w:val="000000"/>
          <w:sz w:val="24"/>
          <w:szCs w:val="24"/>
        </w:rPr>
      </w:pPr>
      <w:r>
        <w:rPr>
          <w:rFonts w:asciiTheme="majorBidi" w:hAnsiTheme="majorBidi" w:cstheme="majorBidi"/>
          <w:noProof/>
          <w:sz w:val="24"/>
          <w:szCs w:val="24"/>
        </w:rPr>
        <w:drawing>
          <wp:anchor distT="0" distB="0" distL="114300" distR="114300" simplePos="0" relativeHeight="251658240" behindDoc="0" locked="0" layoutInCell="1" allowOverlap="1">
            <wp:simplePos x="0" y="0"/>
            <wp:positionH relativeFrom="column">
              <wp:posOffset>4392930</wp:posOffset>
            </wp:positionH>
            <wp:positionV relativeFrom="paragraph">
              <wp:posOffset>861060</wp:posOffset>
            </wp:positionV>
            <wp:extent cx="1500505" cy="1028700"/>
            <wp:effectExtent l="19050" t="0" r="4445" b="0"/>
            <wp:wrapSquare wrapText="bothSides"/>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srcRect/>
                    <a:stretch>
                      <a:fillRect/>
                    </a:stretch>
                  </pic:blipFill>
                  <pic:spPr bwMode="auto">
                    <a:xfrm>
                      <a:off x="0" y="0"/>
                      <a:ext cx="1500505" cy="1028700"/>
                    </a:xfrm>
                    <a:prstGeom prst="rect">
                      <a:avLst/>
                    </a:prstGeom>
                    <a:noFill/>
                    <a:ln w="9525">
                      <a:noFill/>
                      <a:miter lim="800000"/>
                      <a:headEnd/>
                      <a:tailEnd/>
                    </a:ln>
                  </pic:spPr>
                </pic:pic>
              </a:graphicData>
            </a:graphic>
          </wp:anchor>
        </w:drawing>
      </w:r>
      <w:r w:rsidRPr="004D0CD2">
        <w:rPr>
          <w:rFonts w:asciiTheme="majorBidi" w:hAnsiTheme="majorBidi" w:cstheme="majorBidi"/>
          <w:sz w:val="24"/>
          <w:szCs w:val="24"/>
        </w:rPr>
        <w:t xml:space="preserve">Living Donor Liver Transplantation for Patients with Pre-existent Portal Vein Thrombosis: </w:t>
      </w:r>
      <w:r w:rsidRPr="004D0CD2">
        <w:rPr>
          <w:rFonts w:asciiTheme="majorBidi" w:hAnsiTheme="majorBidi" w:cstheme="majorBidi"/>
          <w:color w:val="000000"/>
          <w:sz w:val="24"/>
          <w:szCs w:val="24"/>
        </w:rPr>
        <w:t>the full text was published in</w:t>
      </w:r>
      <w:r w:rsidRPr="004D0CD2">
        <w:rPr>
          <w:rFonts w:asciiTheme="majorBidi" w:eastAsia="AdobeFangsongStd-Regular" w:hAnsiTheme="majorBidi" w:cstheme="majorBidi"/>
          <w:sz w:val="24"/>
          <w:szCs w:val="24"/>
        </w:rPr>
        <w:t xml:space="preserve"> </w:t>
      </w:r>
      <w:r w:rsidRPr="004D0CD2">
        <w:rPr>
          <w:rFonts w:asciiTheme="majorBidi" w:hAnsiTheme="majorBidi" w:cstheme="majorBidi"/>
          <w:sz w:val="24"/>
          <w:szCs w:val="24"/>
        </w:rPr>
        <w:t xml:space="preserve">Journal of Liver: </w:t>
      </w:r>
      <w:proofErr w:type="spellStart"/>
      <w:r w:rsidRPr="004D0CD2">
        <w:rPr>
          <w:rFonts w:asciiTheme="majorBidi" w:hAnsiTheme="majorBidi" w:cstheme="majorBidi"/>
          <w:color w:val="000000"/>
          <w:sz w:val="24"/>
          <w:szCs w:val="24"/>
        </w:rPr>
        <w:t>Zakaria</w:t>
      </w:r>
      <w:proofErr w:type="spellEnd"/>
      <w:r w:rsidRPr="004D0CD2">
        <w:rPr>
          <w:rFonts w:asciiTheme="majorBidi" w:hAnsiTheme="majorBidi" w:cstheme="majorBidi"/>
          <w:color w:val="000000"/>
          <w:sz w:val="24"/>
          <w:szCs w:val="24"/>
        </w:rPr>
        <w:t xml:space="preserve"> HM, </w:t>
      </w:r>
      <w:proofErr w:type="spellStart"/>
      <w:r w:rsidRPr="004D0CD2">
        <w:rPr>
          <w:rFonts w:asciiTheme="majorBidi" w:hAnsiTheme="majorBidi" w:cstheme="majorBidi"/>
          <w:color w:val="000000"/>
          <w:sz w:val="24"/>
          <w:szCs w:val="24"/>
        </w:rPr>
        <w:t>Taha</w:t>
      </w:r>
      <w:proofErr w:type="spellEnd"/>
      <w:r w:rsidRPr="004D0CD2">
        <w:rPr>
          <w:rFonts w:asciiTheme="majorBidi" w:hAnsiTheme="majorBidi" w:cstheme="majorBidi"/>
          <w:color w:val="000000"/>
          <w:sz w:val="24"/>
          <w:szCs w:val="24"/>
        </w:rPr>
        <w:t xml:space="preserve"> M, Gad EH, </w:t>
      </w:r>
      <w:proofErr w:type="spellStart"/>
      <w:r w:rsidRPr="004D0CD2">
        <w:rPr>
          <w:rFonts w:asciiTheme="majorBidi" w:hAnsiTheme="majorBidi" w:cstheme="majorBidi"/>
          <w:color w:val="000000"/>
          <w:sz w:val="24"/>
          <w:szCs w:val="24"/>
        </w:rPr>
        <w:t>Soliman</w:t>
      </w:r>
      <w:proofErr w:type="spellEnd"/>
      <w:r w:rsidRPr="004D0CD2">
        <w:rPr>
          <w:rFonts w:asciiTheme="majorBidi" w:hAnsiTheme="majorBidi" w:cstheme="majorBidi"/>
          <w:color w:val="000000"/>
          <w:sz w:val="24"/>
          <w:szCs w:val="24"/>
        </w:rPr>
        <w:t xml:space="preserve"> HE, </w:t>
      </w:r>
      <w:proofErr w:type="spellStart"/>
      <w:r w:rsidRPr="004D0CD2">
        <w:rPr>
          <w:rFonts w:asciiTheme="majorBidi" w:hAnsiTheme="majorBidi" w:cstheme="majorBidi"/>
          <w:color w:val="000000"/>
          <w:sz w:val="24"/>
          <w:szCs w:val="24"/>
        </w:rPr>
        <w:t>Hegazy</w:t>
      </w:r>
      <w:proofErr w:type="spellEnd"/>
      <w:r w:rsidRPr="004D0CD2">
        <w:rPr>
          <w:rFonts w:asciiTheme="majorBidi" w:hAnsiTheme="majorBidi" w:cstheme="majorBidi"/>
          <w:color w:val="000000"/>
          <w:sz w:val="24"/>
          <w:szCs w:val="24"/>
        </w:rPr>
        <w:t xml:space="preserve"> O, et al. (2017) Living Donor Liver Transplantation for Patients with Pre-existent Portal Vein Thrombosis. J Liver 6: 214. doi:</w:t>
      </w:r>
      <w:r w:rsidRPr="004D0CD2">
        <w:rPr>
          <w:rFonts w:asciiTheme="majorBidi" w:hAnsiTheme="majorBidi" w:cstheme="majorBidi"/>
          <w:color w:val="185FA2"/>
          <w:sz w:val="24"/>
          <w:szCs w:val="24"/>
        </w:rPr>
        <w:t>10.4172/2167-0889.1000214</w:t>
      </w:r>
    </w:p>
    <w:p w:rsidR="003A3933" w:rsidRDefault="003A3933" w:rsidP="003A3933">
      <w:pPr>
        <w:bidi w:val="0"/>
        <w:rPr>
          <w:rFonts w:asciiTheme="majorBidi" w:hAnsiTheme="majorBidi" w:cstheme="majorBidi"/>
          <w:sz w:val="24"/>
          <w:szCs w:val="24"/>
        </w:rPr>
      </w:pPr>
    </w:p>
    <w:p w:rsidR="003A3933" w:rsidRPr="003A3933" w:rsidRDefault="003A3933" w:rsidP="003A3933">
      <w:pPr>
        <w:bidi w:val="0"/>
        <w:rPr>
          <w:lang w:bidi="ar-EG"/>
        </w:rPr>
      </w:pPr>
      <w:r w:rsidRPr="00160C67">
        <w:rPr>
          <w:rFonts w:asciiTheme="majorBidi" w:hAnsiTheme="majorBidi" w:cstheme="majorBidi"/>
          <w:sz w:val="24"/>
          <w:szCs w:val="24"/>
        </w:rPr>
        <w:t xml:space="preserve">Biography: </w:t>
      </w:r>
    </w:p>
    <w:p w:rsidR="003A3933" w:rsidRPr="00160C67" w:rsidRDefault="003A3933" w:rsidP="003A3933">
      <w:pPr>
        <w:pStyle w:val="BodyText2"/>
        <w:spacing w:line="360" w:lineRule="auto"/>
        <w:jc w:val="both"/>
        <w:rPr>
          <w:rFonts w:asciiTheme="majorBidi" w:hAnsiTheme="majorBidi" w:cstheme="majorBidi"/>
          <w:szCs w:val="24"/>
        </w:rPr>
      </w:pPr>
      <w:r w:rsidRPr="00160C67">
        <w:rPr>
          <w:rFonts w:asciiTheme="majorBidi" w:hAnsiTheme="majorBidi" w:cstheme="majorBidi"/>
          <w:szCs w:val="24"/>
        </w:rPr>
        <w:t xml:space="preserve">Currently I am working as associate professor of surgery in the Department of Transplantation, </w:t>
      </w:r>
      <w:proofErr w:type="spellStart"/>
      <w:r w:rsidRPr="00160C67">
        <w:rPr>
          <w:rFonts w:asciiTheme="majorBidi" w:hAnsiTheme="majorBidi" w:cstheme="majorBidi"/>
          <w:szCs w:val="24"/>
        </w:rPr>
        <w:t>Hepatobiliary</w:t>
      </w:r>
      <w:proofErr w:type="spellEnd"/>
      <w:r w:rsidRPr="00160C67">
        <w:rPr>
          <w:rFonts w:asciiTheme="majorBidi" w:hAnsiTheme="majorBidi" w:cstheme="majorBidi"/>
          <w:szCs w:val="24"/>
        </w:rPr>
        <w:t xml:space="preserve"> &amp; Pancreatic surgery. National Liver Institute, University of </w:t>
      </w:r>
      <w:proofErr w:type="spellStart"/>
      <w:r w:rsidRPr="00160C67">
        <w:rPr>
          <w:rFonts w:asciiTheme="majorBidi" w:hAnsiTheme="majorBidi" w:cstheme="majorBidi"/>
          <w:szCs w:val="24"/>
        </w:rPr>
        <w:t>Minoufiya</w:t>
      </w:r>
      <w:proofErr w:type="spellEnd"/>
      <w:r w:rsidRPr="00160C67">
        <w:rPr>
          <w:rFonts w:asciiTheme="majorBidi" w:hAnsiTheme="majorBidi" w:cstheme="majorBidi"/>
          <w:szCs w:val="24"/>
        </w:rPr>
        <w:t xml:space="preserve">, </w:t>
      </w:r>
      <w:proofErr w:type="spellStart"/>
      <w:r w:rsidRPr="00160C67">
        <w:rPr>
          <w:rFonts w:asciiTheme="majorBidi" w:hAnsiTheme="majorBidi" w:cstheme="majorBidi"/>
          <w:szCs w:val="24"/>
        </w:rPr>
        <w:t>Shibin</w:t>
      </w:r>
      <w:proofErr w:type="spellEnd"/>
      <w:r w:rsidRPr="00160C67">
        <w:rPr>
          <w:rFonts w:asciiTheme="majorBidi" w:hAnsiTheme="majorBidi" w:cstheme="majorBidi"/>
          <w:szCs w:val="24"/>
        </w:rPr>
        <w:t xml:space="preserve"> El-</w:t>
      </w:r>
      <w:proofErr w:type="spellStart"/>
      <w:r w:rsidRPr="00160C67">
        <w:rPr>
          <w:rFonts w:asciiTheme="majorBidi" w:hAnsiTheme="majorBidi" w:cstheme="majorBidi"/>
          <w:szCs w:val="24"/>
        </w:rPr>
        <w:t>Kom</w:t>
      </w:r>
      <w:proofErr w:type="spellEnd"/>
      <w:r w:rsidRPr="00160C67">
        <w:rPr>
          <w:rFonts w:asciiTheme="majorBidi" w:hAnsiTheme="majorBidi" w:cstheme="majorBidi"/>
          <w:szCs w:val="24"/>
        </w:rPr>
        <w:t xml:space="preserve">, </w:t>
      </w:r>
      <w:proofErr w:type="spellStart"/>
      <w:r w:rsidRPr="00160C67">
        <w:rPr>
          <w:rFonts w:asciiTheme="majorBidi" w:hAnsiTheme="majorBidi" w:cstheme="majorBidi"/>
          <w:szCs w:val="24"/>
        </w:rPr>
        <w:t>Minoufiya</w:t>
      </w:r>
      <w:proofErr w:type="spellEnd"/>
      <w:r w:rsidRPr="00160C67">
        <w:rPr>
          <w:rFonts w:asciiTheme="majorBidi" w:hAnsiTheme="majorBidi" w:cstheme="majorBidi"/>
          <w:szCs w:val="24"/>
        </w:rPr>
        <w:t xml:space="preserve">, Egypt and Consultant, general surgery, </w:t>
      </w:r>
      <w:proofErr w:type="spellStart"/>
      <w:r w:rsidRPr="00160C67">
        <w:rPr>
          <w:rFonts w:asciiTheme="majorBidi" w:hAnsiTheme="majorBidi" w:cstheme="majorBidi"/>
          <w:szCs w:val="24"/>
        </w:rPr>
        <w:t>hepatobiliary</w:t>
      </w:r>
      <w:proofErr w:type="spellEnd"/>
      <w:r w:rsidRPr="00160C67">
        <w:rPr>
          <w:rFonts w:asciiTheme="majorBidi" w:hAnsiTheme="majorBidi" w:cstheme="majorBidi"/>
          <w:szCs w:val="24"/>
        </w:rPr>
        <w:t xml:space="preserve"> surgery in King Faisal hospital, </w:t>
      </w:r>
      <w:proofErr w:type="spellStart"/>
      <w:r w:rsidRPr="00160C67">
        <w:rPr>
          <w:rFonts w:asciiTheme="majorBidi" w:hAnsiTheme="majorBidi" w:cstheme="majorBidi"/>
          <w:szCs w:val="24"/>
        </w:rPr>
        <w:t>Taif</w:t>
      </w:r>
      <w:proofErr w:type="spellEnd"/>
      <w:r w:rsidRPr="00160C67">
        <w:rPr>
          <w:rFonts w:asciiTheme="majorBidi" w:hAnsiTheme="majorBidi" w:cstheme="majorBidi"/>
          <w:szCs w:val="24"/>
        </w:rPr>
        <w:t xml:space="preserve">, KSA. I worked as specialist in general surgery in </w:t>
      </w:r>
      <w:proofErr w:type="spellStart"/>
      <w:r w:rsidRPr="00160C67">
        <w:rPr>
          <w:rFonts w:asciiTheme="majorBidi" w:hAnsiTheme="majorBidi" w:cstheme="majorBidi"/>
          <w:szCs w:val="24"/>
        </w:rPr>
        <w:t>Alganzoury</w:t>
      </w:r>
      <w:proofErr w:type="spellEnd"/>
      <w:r w:rsidRPr="00160C67">
        <w:rPr>
          <w:rFonts w:asciiTheme="majorBidi" w:hAnsiTheme="majorBidi" w:cstheme="majorBidi"/>
          <w:szCs w:val="24"/>
        </w:rPr>
        <w:t xml:space="preserve"> private hospital in Cairo, </w:t>
      </w:r>
      <w:proofErr w:type="gramStart"/>
      <w:r w:rsidRPr="00160C67">
        <w:rPr>
          <w:rFonts w:asciiTheme="majorBidi" w:hAnsiTheme="majorBidi" w:cstheme="majorBidi"/>
          <w:szCs w:val="24"/>
        </w:rPr>
        <w:t>Egypt  from</w:t>
      </w:r>
      <w:proofErr w:type="gramEnd"/>
      <w:r w:rsidRPr="00160C67">
        <w:rPr>
          <w:rFonts w:asciiTheme="majorBidi" w:hAnsiTheme="majorBidi" w:cstheme="majorBidi"/>
          <w:szCs w:val="24"/>
        </w:rPr>
        <w:t xml:space="preserve"> 2008 to 2014( part time)</w:t>
      </w:r>
    </w:p>
    <w:p w:rsidR="003A3933" w:rsidRPr="00160C67" w:rsidRDefault="003A3933" w:rsidP="003A3933">
      <w:pPr>
        <w:pStyle w:val="BodyText2"/>
        <w:spacing w:line="360" w:lineRule="auto"/>
        <w:jc w:val="both"/>
        <w:rPr>
          <w:rFonts w:asciiTheme="majorBidi" w:hAnsiTheme="majorBidi" w:cstheme="majorBidi"/>
          <w:szCs w:val="24"/>
        </w:rPr>
      </w:pPr>
      <w:r w:rsidRPr="00160C67">
        <w:rPr>
          <w:rFonts w:asciiTheme="majorBidi" w:hAnsiTheme="majorBidi" w:cstheme="majorBidi"/>
          <w:szCs w:val="24"/>
        </w:rPr>
        <w:t xml:space="preserve">I worked as consultant </w:t>
      </w:r>
      <w:proofErr w:type="spellStart"/>
      <w:r w:rsidRPr="00160C67">
        <w:rPr>
          <w:rFonts w:asciiTheme="majorBidi" w:hAnsiTheme="majorBidi" w:cstheme="majorBidi"/>
          <w:szCs w:val="24"/>
        </w:rPr>
        <w:t>hepatopancreatobiliary</w:t>
      </w:r>
      <w:proofErr w:type="spellEnd"/>
      <w:r w:rsidRPr="00160C67">
        <w:rPr>
          <w:rFonts w:asciiTheme="majorBidi" w:hAnsiTheme="majorBidi" w:cstheme="majorBidi"/>
          <w:szCs w:val="24"/>
        </w:rPr>
        <w:t xml:space="preserve"> and laparoscopic surgery in King </w:t>
      </w:r>
      <w:proofErr w:type="spellStart"/>
      <w:r w:rsidRPr="00160C67">
        <w:rPr>
          <w:rFonts w:asciiTheme="majorBidi" w:hAnsiTheme="majorBidi" w:cstheme="majorBidi"/>
          <w:szCs w:val="24"/>
        </w:rPr>
        <w:t>Khaled</w:t>
      </w:r>
      <w:proofErr w:type="spellEnd"/>
      <w:r w:rsidRPr="00160C67">
        <w:rPr>
          <w:rFonts w:asciiTheme="majorBidi" w:hAnsiTheme="majorBidi" w:cstheme="majorBidi"/>
          <w:szCs w:val="24"/>
        </w:rPr>
        <w:t xml:space="preserve"> hospital (General surgery and trauma hospital) in Hail in KSA for 6 months (Locum) from 2/ 2015 to 8/2015</w:t>
      </w:r>
    </w:p>
    <w:p w:rsidR="003A3933" w:rsidRPr="00160C67" w:rsidRDefault="003A3933" w:rsidP="003A3933">
      <w:pPr>
        <w:pStyle w:val="BodyText2"/>
        <w:spacing w:line="360" w:lineRule="auto"/>
        <w:jc w:val="both"/>
        <w:rPr>
          <w:rFonts w:asciiTheme="majorBidi" w:hAnsiTheme="majorBidi" w:cstheme="majorBidi"/>
          <w:szCs w:val="24"/>
        </w:rPr>
      </w:pPr>
      <w:r w:rsidRPr="00160C67">
        <w:rPr>
          <w:rFonts w:asciiTheme="majorBidi" w:hAnsiTheme="majorBidi" w:cstheme="majorBidi"/>
          <w:szCs w:val="24"/>
        </w:rPr>
        <w:t xml:space="preserve">I worked as consultant general surgery in </w:t>
      </w:r>
      <w:proofErr w:type="spellStart"/>
      <w:r w:rsidRPr="00160C67">
        <w:rPr>
          <w:rFonts w:asciiTheme="majorBidi" w:hAnsiTheme="majorBidi" w:cstheme="majorBidi"/>
          <w:szCs w:val="24"/>
        </w:rPr>
        <w:t>Alnile</w:t>
      </w:r>
      <w:proofErr w:type="spellEnd"/>
      <w:r w:rsidRPr="00160C67">
        <w:rPr>
          <w:rFonts w:asciiTheme="majorBidi" w:hAnsiTheme="majorBidi" w:cstheme="majorBidi"/>
          <w:szCs w:val="24"/>
        </w:rPr>
        <w:t xml:space="preserve"> hospital, </w:t>
      </w:r>
      <w:proofErr w:type="spellStart"/>
      <w:r w:rsidRPr="00160C67">
        <w:rPr>
          <w:rFonts w:asciiTheme="majorBidi" w:hAnsiTheme="majorBidi" w:cstheme="majorBidi"/>
          <w:szCs w:val="24"/>
        </w:rPr>
        <w:t>Gherghada</w:t>
      </w:r>
      <w:proofErr w:type="spellEnd"/>
      <w:r w:rsidRPr="00160C67">
        <w:rPr>
          <w:rFonts w:asciiTheme="majorBidi" w:hAnsiTheme="majorBidi" w:cstheme="majorBidi"/>
          <w:szCs w:val="24"/>
        </w:rPr>
        <w:t>, Egypt from 3/2016 until 8/2016.</w:t>
      </w:r>
    </w:p>
    <w:p w:rsidR="00B63E22" w:rsidRPr="003A3933" w:rsidRDefault="00B63E22" w:rsidP="003A3933">
      <w:pPr>
        <w:bidi w:val="0"/>
        <w:rPr>
          <w:lang w:val="en-GB" w:bidi="ar-EG"/>
        </w:rPr>
      </w:pPr>
    </w:p>
    <w:sectPr w:rsidR="00B63E22" w:rsidRPr="003A3933" w:rsidSect="00970016">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45A81"/>
    <w:multiLevelType w:val="hybridMultilevel"/>
    <w:tmpl w:val="EBB62C3A"/>
    <w:lvl w:ilvl="0" w:tplc="AD8A18B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E458ED"/>
    <w:multiLevelType w:val="hybridMultilevel"/>
    <w:tmpl w:val="634A9F3E"/>
    <w:lvl w:ilvl="0" w:tplc="AD8A18BA">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9B6524"/>
    <w:multiLevelType w:val="hybridMultilevel"/>
    <w:tmpl w:val="11E6F460"/>
    <w:lvl w:ilvl="0" w:tplc="D87457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efaultTabStop w:val="720"/>
  <w:characterSpacingControl w:val="doNotCompress"/>
  <w:compat/>
  <w:rsids>
    <w:rsidRoot w:val="00655B73"/>
    <w:rsid w:val="000A1AD4"/>
    <w:rsid w:val="000E7EC5"/>
    <w:rsid w:val="003A3933"/>
    <w:rsid w:val="004F58FA"/>
    <w:rsid w:val="00655B73"/>
    <w:rsid w:val="00970016"/>
    <w:rsid w:val="00A63864"/>
    <w:rsid w:val="00AA0004"/>
    <w:rsid w:val="00B63E22"/>
    <w:rsid w:val="00DD6811"/>
    <w:rsid w:val="00F168F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B73"/>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3864"/>
    <w:pPr>
      <w:ind w:left="720"/>
      <w:contextualSpacing/>
    </w:pPr>
    <w:rPr>
      <w:rFonts w:ascii="Calibri" w:eastAsia="Calibri" w:hAnsi="Calibri" w:cs="Arial"/>
    </w:rPr>
  </w:style>
  <w:style w:type="paragraph" w:styleId="BodyText2">
    <w:name w:val="Body Text 2"/>
    <w:basedOn w:val="Normal"/>
    <w:link w:val="BodyText2Char"/>
    <w:rsid w:val="003A3933"/>
    <w:pPr>
      <w:bidi w:val="0"/>
      <w:spacing w:after="0" w:line="240" w:lineRule="auto"/>
    </w:pPr>
    <w:rPr>
      <w:rFonts w:ascii="Arial" w:eastAsia="Times New Roman" w:hAnsi="Arial" w:cs="Arial"/>
      <w:bCs/>
      <w:snapToGrid w:val="0"/>
      <w:sz w:val="24"/>
      <w:szCs w:val="20"/>
      <w:lang w:val="en-GB"/>
    </w:rPr>
  </w:style>
  <w:style w:type="character" w:customStyle="1" w:styleId="BodyText2Char">
    <w:name w:val="Body Text 2 Char"/>
    <w:basedOn w:val="DefaultParagraphFont"/>
    <w:link w:val="BodyText2"/>
    <w:rsid w:val="003A3933"/>
    <w:rPr>
      <w:rFonts w:ascii="Arial" w:eastAsia="Times New Roman" w:hAnsi="Arial" w:cs="Arial"/>
      <w:bCs/>
      <w:snapToGrid w:val="0"/>
      <w:sz w:val="24"/>
      <w:szCs w:val="20"/>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881</Words>
  <Characters>5022</Characters>
  <Application>Microsoft Office Word</Application>
  <DocSecurity>0</DocSecurity>
  <Lines>41</Lines>
  <Paragraphs>11</Paragraphs>
  <ScaleCrop>false</ScaleCrop>
  <Company/>
  <LinksUpToDate>false</LinksUpToDate>
  <CharactersWithSpaces>5892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Alresala</dc:creator>
  <cp:lastModifiedBy>Alresala</cp:lastModifiedBy>
  <cp:revision>5</cp:revision>
  <dcterms:created xsi:type="dcterms:W3CDTF">2017-12-04T20:32:00Z</dcterms:created>
  <dcterms:modified xsi:type="dcterms:W3CDTF">2017-12-07T21:22:00Z</dcterms:modified>
</cp:coreProperties>
</file>