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E18" w:rsidRPr="003B7F99" w:rsidRDefault="00A73E18" w:rsidP="00A73E18">
      <w:pPr>
        <w:bidi w:val="0"/>
        <w:spacing w:line="360" w:lineRule="auto"/>
        <w:jc w:val="center"/>
        <w:rPr>
          <w:rFonts w:asciiTheme="majorBidi" w:hAnsiTheme="majorBidi" w:cstheme="majorBidi"/>
          <w:sz w:val="24"/>
          <w:szCs w:val="24"/>
          <w:lang w:bidi="ar-EG"/>
        </w:rPr>
      </w:pPr>
      <w:r w:rsidRPr="003B7F99">
        <w:rPr>
          <w:rFonts w:asciiTheme="majorBidi" w:hAnsiTheme="majorBidi" w:cstheme="majorBidi"/>
          <w:b/>
          <w:bCs/>
          <w:sz w:val="24"/>
          <w:szCs w:val="24"/>
        </w:rPr>
        <w:t xml:space="preserve">Outcome of Surgical management of </w:t>
      </w:r>
      <w:r>
        <w:rPr>
          <w:rFonts w:asciiTheme="majorBidi" w:hAnsiTheme="majorBidi" w:cstheme="majorBidi"/>
          <w:b/>
          <w:bCs/>
          <w:sz w:val="24"/>
          <w:szCs w:val="24"/>
        </w:rPr>
        <w:t>laparoscopic cholecystectomy (</w:t>
      </w:r>
      <w:r w:rsidRPr="003B7F99">
        <w:rPr>
          <w:rFonts w:asciiTheme="majorBidi" w:hAnsiTheme="majorBidi" w:cstheme="majorBidi"/>
          <w:b/>
          <w:bCs/>
          <w:sz w:val="24"/>
          <w:szCs w:val="24"/>
        </w:rPr>
        <w:t>LC</w:t>
      </w:r>
      <w:r>
        <w:rPr>
          <w:rFonts w:asciiTheme="majorBidi" w:hAnsiTheme="majorBidi" w:cstheme="majorBidi"/>
          <w:b/>
          <w:bCs/>
          <w:sz w:val="24"/>
          <w:szCs w:val="24"/>
        </w:rPr>
        <w:t>)</w:t>
      </w:r>
      <w:r w:rsidRPr="003B7F99">
        <w:rPr>
          <w:rFonts w:asciiTheme="majorBidi" w:hAnsiTheme="majorBidi" w:cstheme="majorBidi"/>
          <w:b/>
          <w:bCs/>
          <w:sz w:val="24"/>
          <w:szCs w:val="24"/>
        </w:rPr>
        <w:t>- related major bile duct injuries</w:t>
      </w:r>
      <w:r w:rsidRPr="003B7F99">
        <w:rPr>
          <w:rFonts w:asciiTheme="majorBidi" w:hAnsiTheme="majorBidi" w:cstheme="majorBidi"/>
          <w:b/>
          <w:bCs/>
          <w:sz w:val="24"/>
          <w:szCs w:val="24"/>
          <w:lang w:bidi="ar-EG"/>
        </w:rPr>
        <w:t>.</w:t>
      </w:r>
    </w:p>
    <w:p w:rsidR="00A73E18" w:rsidRPr="003B7F99" w:rsidRDefault="00A73E18" w:rsidP="00A73E18">
      <w:pPr>
        <w:bidi w:val="0"/>
        <w:spacing w:line="360" w:lineRule="auto"/>
        <w:ind w:right="-766"/>
        <w:rPr>
          <w:rFonts w:ascii="Times New Roman" w:hAnsi="Times New Roman" w:cs="Times New Roman"/>
          <w:color w:val="000000"/>
          <w:sz w:val="24"/>
          <w:szCs w:val="24"/>
          <w:lang w:eastAsia="ar-SA"/>
        </w:rPr>
      </w:pPr>
      <w:r w:rsidRPr="003B7F99">
        <w:rPr>
          <w:rFonts w:ascii="Times New Roman" w:hAnsi="Times New Roman" w:cs="Times New Roman"/>
          <w:color w:val="000000"/>
          <w:sz w:val="24"/>
          <w:szCs w:val="24"/>
          <w:lang w:eastAsia="ar-SA"/>
        </w:rPr>
        <w:t>Emad Hamdy Gad, MD (1),</w:t>
      </w:r>
      <w:r>
        <w:rPr>
          <w:rFonts w:ascii="Times New Roman" w:hAnsi="Times New Roman" w:cs="Times New Roman"/>
          <w:color w:val="000000"/>
          <w:sz w:val="24"/>
          <w:szCs w:val="24"/>
          <w:lang w:eastAsia="ar-SA"/>
        </w:rPr>
        <w:t xml:space="preserve"> Eslam Ayoup,MD(1), </w:t>
      </w:r>
      <w:r w:rsidRPr="003B7F99">
        <w:rPr>
          <w:rFonts w:ascii="Times New Roman" w:hAnsi="Times New Roman" w:cs="Times New Roman"/>
          <w:color w:val="000000"/>
          <w:sz w:val="24"/>
          <w:szCs w:val="24"/>
          <w:lang w:eastAsia="ar-SA"/>
        </w:rPr>
        <w:t>Yasmin Kamel MD(2), Talat Zakaria(3), Mohamed Abbasy(3), Ali Nada(3),  Mohamed Housseni(4)</w:t>
      </w:r>
    </w:p>
    <w:p w:rsidR="00A73E18" w:rsidRPr="003B7F99" w:rsidRDefault="00A73E18" w:rsidP="00A73E18">
      <w:pPr>
        <w:pStyle w:val="ListParagraph"/>
        <w:numPr>
          <w:ilvl w:val="0"/>
          <w:numId w:val="1"/>
        </w:numPr>
        <w:bidi w:val="0"/>
        <w:spacing w:line="360" w:lineRule="auto"/>
        <w:jc w:val="lowKashida"/>
        <w:rPr>
          <w:rFonts w:ascii="Times New Roman" w:hAnsi="Times New Roman" w:cs="Times New Roman"/>
          <w:color w:val="000000"/>
          <w:sz w:val="24"/>
          <w:szCs w:val="24"/>
          <w:lang w:eastAsia="ar-SA"/>
        </w:rPr>
      </w:pPr>
      <w:r w:rsidRPr="003B7F99">
        <w:rPr>
          <w:rFonts w:ascii="Times New Roman" w:hAnsi="Times New Roman" w:cs="Times New Roman"/>
          <w:color w:val="000000"/>
          <w:sz w:val="24"/>
          <w:szCs w:val="24"/>
          <w:lang w:eastAsia="ar-SA"/>
        </w:rPr>
        <w:t xml:space="preserve">Hepatobiliary Surgery, National Liver Institute, Menoufiya University, Shebein Elkoum, Egypt. </w:t>
      </w:r>
    </w:p>
    <w:p w:rsidR="00A73E18" w:rsidRPr="003B7F99" w:rsidRDefault="00A73E18" w:rsidP="00A73E18">
      <w:pPr>
        <w:bidi w:val="0"/>
        <w:spacing w:line="360" w:lineRule="auto"/>
        <w:ind w:left="360"/>
        <w:jc w:val="lowKashida"/>
        <w:rPr>
          <w:rFonts w:ascii="Times New Roman" w:hAnsi="Times New Roman" w:cs="Times New Roman"/>
          <w:color w:val="000000"/>
          <w:sz w:val="24"/>
          <w:szCs w:val="24"/>
          <w:lang w:eastAsia="ar-SA"/>
        </w:rPr>
      </w:pPr>
      <w:r w:rsidRPr="003B7F99">
        <w:rPr>
          <w:rFonts w:ascii="Times New Roman" w:hAnsi="Times New Roman" w:cs="Times New Roman"/>
          <w:sz w:val="24"/>
          <w:szCs w:val="24"/>
        </w:rPr>
        <w:t xml:space="preserve">(2) Anaesthesia, </w:t>
      </w:r>
      <w:r w:rsidRPr="003B7F99">
        <w:rPr>
          <w:rFonts w:ascii="Times New Roman" w:hAnsi="Times New Roman" w:cs="Times New Roman"/>
          <w:color w:val="000000"/>
          <w:sz w:val="24"/>
          <w:szCs w:val="24"/>
          <w:lang w:eastAsia="ar-SA"/>
        </w:rPr>
        <w:t>National Liver Institute, Menoufiya University, Shebein Elkoum, Egypt.</w:t>
      </w:r>
    </w:p>
    <w:p w:rsidR="00A73E18" w:rsidRPr="003B7F99" w:rsidRDefault="00A73E18" w:rsidP="00A73E18">
      <w:pPr>
        <w:bidi w:val="0"/>
        <w:spacing w:line="360" w:lineRule="auto"/>
        <w:ind w:left="360"/>
        <w:jc w:val="lowKashida"/>
        <w:rPr>
          <w:rFonts w:ascii="Times New Roman" w:hAnsi="Times New Roman" w:cs="Times New Roman"/>
          <w:color w:val="000000"/>
          <w:sz w:val="24"/>
          <w:szCs w:val="24"/>
          <w:lang w:eastAsia="ar-SA"/>
        </w:rPr>
      </w:pPr>
      <w:r w:rsidRPr="003B7F99">
        <w:rPr>
          <w:rFonts w:ascii="Times New Roman" w:hAnsi="Times New Roman" w:cs="Times New Roman"/>
          <w:color w:val="000000"/>
          <w:sz w:val="24"/>
          <w:szCs w:val="24"/>
          <w:lang w:eastAsia="ar-SA"/>
        </w:rPr>
        <w:t>(3) Hepatology</w:t>
      </w:r>
      <w:r>
        <w:rPr>
          <w:rFonts w:ascii="Times New Roman" w:hAnsi="Times New Roman" w:cs="Times New Roman"/>
          <w:color w:val="000000"/>
          <w:sz w:val="24"/>
          <w:szCs w:val="24"/>
          <w:lang w:eastAsia="ar-SA"/>
        </w:rPr>
        <w:t xml:space="preserve"> and endoscopy,</w:t>
      </w:r>
      <w:r w:rsidRPr="003B7F99">
        <w:rPr>
          <w:rFonts w:ascii="Times New Roman" w:hAnsi="Times New Roman" w:cs="Times New Roman"/>
          <w:color w:val="000000"/>
          <w:sz w:val="24"/>
          <w:szCs w:val="24"/>
          <w:lang w:eastAsia="ar-SA"/>
        </w:rPr>
        <w:t xml:space="preserve"> National Liver Institute, Menoufiya University, Shebein Elkoum, Egypt.</w:t>
      </w:r>
    </w:p>
    <w:p w:rsidR="00A73E18" w:rsidRPr="003B7F99" w:rsidRDefault="00A73E18" w:rsidP="00A73E18">
      <w:pPr>
        <w:bidi w:val="0"/>
        <w:spacing w:line="360" w:lineRule="auto"/>
        <w:ind w:left="360"/>
        <w:jc w:val="lowKashida"/>
        <w:rPr>
          <w:rFonts w:ascii="Times New Roman" w:hAnsi="Times New Roman" w:cs="Times New Roman"/>
          <w:color w:val="000000"/>
          <w:sz w:val="24"/>
          <w:szCs w:val="24"/>
          <w:lang w:eastAsia="ar-SA"/>
        </w:rPr>
      </w:pPr>
      <w:r w:rsidRPr="003B7F99">
        <w:rPr>
          <w:rFonts w:ascii="Times New Roman" w:hAnsi="Times New Roman" w:cs="Times New Roman"/>
          <w:color w:val="000000"/>
          <w:sz w:val="24"/>
          <w:szCs w:val="24"/>
          <w:lang w:eastAsia="ar-SA"/>
        </w:rPr>
        <w:t>(4) Radioligy, National Liver Institute, Menoufiya University, Shebein Elkoum, Egypt.</w:t>
      </w:r>
    </w:p>
    <w:p w:rsidR="00A73E18" w:rsidRPr="00A73E18" w:rsidRDefault="00A73E18" w:rsidP="00A73E18">
      <w:pPr>
        <w:bidi w:val="0"/>
        <w:spacing w:line="360" w:lineRule="auto"/>
        <w:jc w:val="lowKashida"/>
        <w:rPr>
          <w:rFonts w:ascii="Times New Roman" w:hAnsi="Times New Roman" w:cs="Times New Roman"/>
          <w:color w:val="000000"/>
          <w:sz w:val="24"/>
          <w:szCs w:val="24"/>
          <w:lang w:eastAsia="ar-SA"/>
        </w:rPr>
      </w:pPr>
      <w:r w:rsidRPr="003B7F99">
        <w:rPr>
          <w:rFonts w:ascii="Times New Roman" w:hAnsi="Times New Roman" w:cs="Times New Roman"/>
          <w:sz w:val="24"/>
          <w:szCs w:val="24"/>
        </w:rPr>
        <w:t>Corresponding Author:  Emad Hamdy Gad (1)</w:t>
      </w:r>
      <w:r w:rsidR="005720C9">
        <w:rPr>
          <w:rFonts w:ascii="Times New Roman" w:hAnsi="Times New Roman" w:cs="Times New Roman"/>
          <w:color w:val="000000"/>
          <w:sz w:val="24"/>
          <w:szCs w:val="24"/>
          <w:lang w:eastAsia="ar-SA"/>
        </w:rPr>
        <w:t>: emadgadsalemaa@yahoo.com</w:t>
      </w:r>
    </w:p>
    <w:p w:rsidR="002C0A35" w:rsidRPr="00DB7750" w:rsidRDefault="002C0A35" w:rsidP="00A73E18">
      <w:pPr>
        <w:bidi w:val="0"/>
        <w:spacing w:line="360" w:lineRule="auto"/>
        <w:jc w:val="both"/>
        <w:rPr>
          <w:rFonts w:ascii="Times New Roman" w:hAnsi="Times New Roman" w:cs="Times New Roman"/>
          <w:b/>
          <w:bCs/>
          <w:sz w:val="24"/>
          <w:szCs w:val="24"/>
          <w:lang w:bidi="ar-EG"/>
        </w:rPr>
      </w:pPr>
      <w:r w:rsidRPr="00DB7750">
        <w:rPr>
          <w:rFonts w:ascii="Times New Roman" w:hAnsi="Times New Roman" w:cs="Times New Roman"/>
          <w:b/>
          <w:bCs/>
          <w:sz w:val="24"/>
          <w:szCs w:val="24"/>
          <w:lang w:bidi="ar-EG"/>
        </w:rPr>
        <w:t>Abstract:</w:t>
      </w:r>
    </w:p>
    <w:p w:rsidR="002C0A35" w:rsidRPr="00FA5D4E" w:rsidRDefault="002C0A35" w:rsidP="00017BA6">
      <w:pPr>
        <w:tabs>
          <w:tab w:val="left" w:pos="1425"/>
        </w:tabs>
        <w:bidi w:val="0"/>
        <w:spacing w:line="360" w:lineRule="auto"/>
        <w:ind w:firstLine="567"/>
        <w:jc w:val="both"/>
        <w:rPr>
          <w:rFonts w:ascii="Times New Roman" w:hAnsi="Times New Roman" w:cs="Times New Roman"/>
          <w:color w:val="000000"/>
          <w:sz w:val="24"/>
          <w:szCs w:val="24"/>
        </w:rPr>
      </w:pPr>
      <w:r w:rsidRPr="00FA5D4E">
        <w:rPr>
          <w:rFonts w:asciiTheme="majorBidi" w:hAnsiTheme="majorBidi" w:cstheme="majorBidi"/>
          <w:sz w:val="24"/>
          <w:szCs w:val="24"/>
          <w:lang w:bidi="ar-EG"/>
        </w:rPr>
        <w:t>Objectives: Laparoscopic cholecystectomy (LC) - associated bile duct injury (BDI) is a clinical problem with poor outcome. The study aimed to analyze the outcome of surgical management of these injuries. Patients and methods: We retrospectively analyzed 69 patients underwent surgical management of LC related major BDIs (MBDIs), in the period from mid 201</w:t>
      </w:r>
      <w:r>
        <w:rPr>
          <w:rFonts w:asciiTheme="majorBidi" w:hAnsiTheme="majorBidi" w:cstheme="majorBidi"/>
          <w:sz w:val="24"/>
          <w:szCs w:val="24"/>
          <w:lang w:bidi="ar-EG"/>
        </w:rPr>
        <w:t>3</w:t>
      </w:r>
      <w:r w:rsidRPr="00FA5D4E">
        <w:rPr>
          <w:rFonts w:asciiTheme="majorBidi" w:hAnsiTheme="majorBidi" w:cstheme="majorBidi"/>
          <w:sz w:val="24"/>
          <w:szCs w:val="24"/>
          <w:lang w:bidi="ar-EG"/>
        </w:rPr>
        <w:t xml:space="preserve"> to </w:t>
      </w:r>
      <w:r w:rsidR="00591FE9">
        <w:rPr>
          <w:rFonts w:asciiTheme="majorBidi" w:hAnsiTheme="majorBidi" w:cstheme="majorBidi"/>
          <w:sz w:val="24"/>
          <w:szCs w:val="24"/>
          <w:lang w:bidi="ar-EG"/>
        </w:rPr>
        <w:t xml:space="preserve">mid </w:t>
      </w:r>
      <w:r w:rsidRPr="00FA5D4E">
        <w:rPr>
          <w:rFonts w:asciiTheme="majorBidi" w:hAnsiTheme="majorBidi" w:cstheme="majorBidi"/>
          <w:sz w:val="24"/>
          <w:szCs w:val="24"/>
          <w:lang w:bidi="ar-EG"/>
        </w:rPr>
        <w:t>201</w:t>
      </w:r>
      <w:r>
        <w:rPr>
          <w:rFonts w:asciiTheme="majorBidi" w:hAnsiTheme="majorBidi" w:cstheme="majorBidi"/>
          <w:sz w:val="24"/>
          <w:szCs w:val="24"/>
          <w:lang w:bidi="ar-EG"/>
        </w:rPr>
        <w:t>8</w:t>
      </w:r>
      <w:r w:rsidRPr="00FA5D4E">
        <w:rPr>
          <w:rFonts w:asciiTheme="majorBidi" w:hAnsiTheme="majorBidi" w:cstheme="majorBidi"/>
          <w:sz w:val="24"/>
          <w:szCs w:val="24"/>
          <w:lang w:bidi="ar-EG"/>
        </w:rPr>
        <w:t>. Results: Regarding injury type; the Leaking, Obstructing, leaking + obstructing, leaking + vascular, and obstructing +vascular injuries were</w:t>
      </w:r>
      <w:r w:rsidRPr="00FA5D4E">
        <w:rPr>
          <w:rFonts w:asciiTheme="majorBidi" w:hAnsiTheme="majorBidi" w:cstheme="majorBidi"/>
          <w:sz w:val="24"/>
          <w:szCs w:val="24"/>
        </w:rPr>
        <w:t xml:space="preserve"> 43.5%, 27.5%, 18.8%, 2.9%, </w:t>
      </w:r>
      <w:r>
        <w:rPr>
          <w:rFonts w:asciiTheme="majorBidi" w:hAnsiTheme="majorBidi" w:cstheme="majorBidi"/>
          <w:sz w:val="24"/>
          <w:szCs w:val="24"/>
        </w:rPr>
        <w:t>and 7.2% respectively. However, t</w:t>
      </w:r>
      <w:r w:rsidRPr="00FA5D4E">
        <w:rPr>
          <w:rFonts w:asciiTheme="majorBidi" w:hAnsiTheme="majorBidi" w:cstheme="majorBidi"/>
          <w:sz w:val="24"/>
          <w:szCs w:val="24"/>
        </w:rPr>
        <w:t xml:space="preserve">he </w:t>
      </w:r>
      <w:r w:rsidRPr="00FA5D4E">
        <w:rPr>
          <w:rFonts w:asciiTheme="majorBidi" w:hAnsiTheme="majorBidi" w:cstheme="majorBidi"/>
          <w:sz w:val="24"/>
          <w:szCs w:val="24"/>
          <w:lang w:bidi="ar-EG"/>
        </w:rPr>
        <w:t>Strasberg classification of injury was as follow:  E1=25, E2=32, E3=8, and E4=4.</w:t>
      </w:r>
      <w:r w:rsidRPr="00FA5D4E">
        <w:rPr>
          <w:rFonts w:asciiTheme="majorBidi" w:hAnsiTheme="majorBidi" w:cstheme="majorBidi"/>
          <w:sz w:val="24"/>
          <w:szCs w:val="24"/>
        </w:rPr>
        <w:t xml:space="preserve"> The definitive procedures were as follow: End to end biliary anastomosis with stent, hepaticojejunostomy (HJ) with or without stenting, and RT hepatectomy plus biliary reconstruction with stenting in 4.3%, 87%, and 8.7% of patients respectively. According to time of definitive procedure from injury; the immediate (before 72 h)</w:t>
      </w:r>
      <w:r w:rsidRPr="00FA5D4E">
        <w:rPr>
          <w:rFonts w:asciiTheme="majorBidi" w:hAnsiTheme="majorBidi" w:cstheme="majorBidi"/>
          <w:sz w:val="24"/>
          <w:szCs w:val="24"/>
          <w:lang w:bidi="ar-EG"/>
        </w:rPr>
        <w:t xml:space="preserve">, </w:t>
      </w:r>
      <w:r w:rsidRPr="00FA5D4E">
        <w:rPr>
          <w:rFonts w:asciiTheme="majorBidi" w:hAnsiTheme="majorBidi" w:cstheme="majorBidi"/>
          <w:sz w:val="24"/>
          <w:szCs w:val="24"/>
        </w:rPr>
        <w:t>intermediate (between 72 h and1.5months)</w:t>
      </w:r>
      <w:r w:rsidRPr="00FA5D4E">
        <w:rPr>
          <w:rFonts w:asciiTheme="majorBidi" w:hAnsiTheme="majorBidi" w:cstheme="majorBidi"/>
          <w:sz w:val="24"/>
          <w:szCs w:val="24"/>
          <w:lang w:bidi="ar-EG"/>
        </w:rPr>
        <w:t xml:space="preserve">, and </w:t>
      </w:r>
      <w:r w:rsidRPr="00FA5D4E">
        <w:rPr>
          <w:rFonts w:asciiTheme="majorBidi" w:hAnsiTheme="majorBidi" w:cstheme="majorBidi"/>
          <w:sz w:val="24"/>
          <w:szCs w:val="24"/>
        </w:rPr>
        <w:t>late (after1.5 months)</w:t>
      </w:r>
      <w:r w:rsidRPr="00FA5D4E">
        <w:rPr>
          <w:rFonts w:asciiTheme="majorBidi" w:hAnsiTheme="majorBidi" w:cstheme="majorBidi"/>
          <w:sz w:val="24"/>
          <w:szCs w:val="24"/>
          <w:lang w:bidi="ar-EG"/>
        </w:rPr>
        <w:t xml:space="preserve"> management were </w:t>
      </w:r>
      <w:r w:rsidRPr="00FA5D4E">
        <w:rPr>
          <w:rFonts w:asciiTheme="majorBidi" w:hAnsiTheme="majorBidi" w:cstheme="majorBidi"/>
          <w:sz w:val="24"/>
          <w:szCs w:val="24"/>
        </w:rPr>
        <w:t xml:space="preserve">13 %, 14.5 %, and 72.5 % respectively. The hospital and 1month (early) morbidity after definitive treatment was 21.7 %, while, late biliary morbidity was 17.4 % and the overall mortality was 2.9%, on the other </w:t>
      </w:r>
      <w:r w:rsidRPr="00FA5D4E">
        <w:rPr>
          <w:rFonts w:asciiTheme="majorBidi" w:hAnsiTheme="majorBidi" w:cstheme="majorBidi"/>
          <w:sz w:val="24"/>
          <w:szCs w:val="24"/>
        </w:rPr>
        <w:lastRenderedPageBreak/>
        <w:t xml:space="preserve">hand, late biliary morbidity free survival was 79.7%. On univariate analysis, the following factors were significant predictors of early morbidity; Sepsis at referral, higher Strasberg grade, associated vascular injury, RT hepatectomy with biliary reconstruction as a definitive procedure, intra-operative bleeding with blood transfusion, liver cirrhosis and longer operative times and hospital stays. However, the following factors were significantly associated with late biliary morbidity: Sepsis at referral, end to end anastomosis with stenting, Reconstruction without stenting, liver cirrhosis, operative bleeding and early morbidity. Conclusion: Sepsis at referral, liver cirrhosis and operative bleeding were significantly associated with both early and late morbidities after definitive management of LC related MBDIs, so it is crucial to avoid these catastrophes when doing those major procedures.   </w:t>
      </w:r>
    </w:p>
    <w:p w:rsidR="005720C9" w:rsidRPr="00DB7750" w:rsidRDefault="005720C9" w:rsidP="005720C9">
      <w:pPr>
        <w:tabs>
          <w:tab w:val="left" w:pos="1425"/>
        </w:tabs>
        <w:bidi w:val="0"/>
        <w:rPr>
          <w:rFonts w:ascii="Times New Roman" w:hAnsi="Times New Roman" w:cs="Times New Roman"/>
        </w:rPr>
      </w:pPr>
      <w:r w:rsidRPr="00DB7750">
        <w:rPr>
          <w:rFonts w:ascii="Times New Roman" w:hAnsi="Times New Roman" w:cs="Times New Roman"/>
        </w:rPr>
        <w:t>Figure (10)</w:t>
      </w:r>
    </w:p>
    <w:p w:rsidR="005720C9" w:rsidRPr="00DB7750" w:rsidRDefault="005720C9" w:rsidP="005720C9">
      <w:pPr>
        <w:tabs>
          <w:tab w:val="left" w:pos="1425"/>
        </w:tabs>
        <w:bidi w:val="0"/>
        <w:rPr>
          <w:rFonts w:ascii="Times New Roman" w:hAnsi="Times New Roman" w:cs="Times New Roman"/>
        </w:rPr>
      </w:pPr>
      <w:r w:rsidRPr="00DB7750">
        <w:rPr>
          <w:rFonts w:ascii="Times New Roman" w:hAnsi="Times New Roman" w:cs="Times New Roman"/>
        </w:rPr>
        <w:t>A- KM survival curve</w:t>
      </w:r>
    </w:p>
    <w:p w:rsidR="005720C9" w:rsidRPr="00DB7750" w:rsidRDefault="005720C9" w:rsidP="005720C9">
      <w:pPr>
        <w:tabs>
          <w:tab w:val="left" w:pos="1425"/>
        </w:tabs>
        <w:bidi w:val="0"/>
        <w:rPr>
          <w:rFonts w:ascii="Times New Roman" w:hAnsi="Times New Roman" w:cs="Times New Roman"/>
        </w:rPr>
      </w:pPr>
      <w:r w:rsidRPr="00DB7750">
        <w:rPr>
          <w:rFonts w:ascii="Times New Roman" w:hAnsi="Times New Roman" w:cs="Times New Roman"/>
        </w:rPr>
        <w:t xml:space="preserve">B-KM disease free survival curve </w:t>
      </w:r>
    </w:p>
    <w:p w:rsidR="005720C9" w:rsidRPr="00DB7750" w:rsidRDefault="005720C9" w:rsidP="005720C9">
      <w:pPr>
        <w:tabs>
          <w:tab w:val="left" w:pos="1425"/>
        </w:tabs>
        <w:bidi w:val="0"/>
        <w:rPr>
          <w:rFonts w:ascii="Times New Roman" w:hAnsi="Times New Roman" w:cs="Times New Roman"/>
        </w:rPr>
      </w:pPr>
      <w:r w:rsidRPr="00DB7750">
        <w:rPr>
          <w:rFonts w:ascii="Times New Roman" w:hAnsi="Times New Roman" w:cs="Times New Roman"/>
        </w:rPr>
        <w:t xml:space="preserve">                </w:t>
      </w:r>
      <w:r>
        <w:rPr>
          <w:rFonts w:ascii="Times New Roman" w:hAnsi="Times New Roman" w:cs="Times New Roman"/>
        </w:rPr>
        <w:t xml:space="preserve">     </w:t>
      </w:r>
      <w:r w:rsidRPr="00DB7750">
        <w:rPr>
          <w:rFonts w:ascii="Times New Roman" w:hAnsi="Times New Roman" w:cs="Times New Roman"/>
        </w:rPr>
        <w:t xml:space="preserve"> A         </w:t>
      </w:r>
      <w:r>
        <w:rPr>
          <w:rFonts w:ascii="Times New Roman" w:hAnsi="Times New Roman" w:cs="Times New Roman"/>
        </w:rPr>
        <w:t xml:space="preserve">                                                                       B</w:t>
      </w:r>
      <w:r w:rsidRPr="00DB7750">
        <w:rPr>
          <w:rFonts w:ascii="Times New Roman" w:hAnsi="Times New Roman" w:cs="Times New Roman"/>
        </w:rPr>
        <w:t xml:space="preserve">                                                                   </w:t>
      </w:r>
    </w:p>
    <w:p w:rsidR="005720C9" w:rsidRPr="00DB7750" w:rsidRDefault="005720C9" w:rsidP="005720C9">
      <w:pPr>
        <w:tabs>
          <w:tab w:val="left" w:pos="1425"/>
        </w:tabs>
        <w:bidi w:val="0"/>
        <w:ind w:left="1665"/>
        <w:rPr>
          <w:rFonts w:ascii="Times New Roman" w:hAnsi="Times New Roman" w:cs="Times New Roman"/>
        </w:rPr>
      </w:pPr>
      <w:r>
        <w:rPr>
          <w:rFonts w:ascii="Times New Roman" w:hAnsi="Times New Roman" w:cs="Times New Roman"/>
          <w:noProof/>
        </w:rPr>
        <w:drawing>
          <wp:anchor distT="0" distB="0" distL="114300" distR="114300" simplePos="0" relativeHeight="251660288" behindDoc="0" locked="0" layoutInCell="1" allowOverlap="1">
            <wp:simplePos x="0" y="0"/>
            <wp:positionH relativeFrom="column">
              <wp:posOffset>2804160</wp:posOffset>
            </wp:positionH>
            <wp:positionV relativeFrom="paragraph">
              <wp:posOffset>169545</wp:posOffset>
            </wp:positionV>
            <wp:extent cx="2598420" cy="1600200"/>
            <wp:effectExtent l="19050" t="0" r="0" b="0"/>
            <wp:wrapSquare wrapText="bothSides"/>
            <wp:docPr id="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598420" cy="1600200"/>
                    </a:xfrm>
                    <a:prstGeom prst="rect">
                      <a:avLst/>
                    </a:prstGeom>
                    <a:noFill/>
                    <a:ln w="9525">
                      <a:noFill/>
                      <a:miter lim="800000"/>
                      <a:headEnd/>
                      <a:tailEnd/>
                    </a:ln>
                  </pic:spPr>
                </pic:pic>
              </a:graphicData>
            </a:graphic>
          </wp:anchor>
        </w:drawing>
      </w:r>
      <w:r w:rsidRPr="00DB7750">
        <w:rPr>
          <w:rFonts w:ascii="Times New Roman" w:hAnsi="Times New Roman" w:cs="Times New Roman"/>
          <w:noProof/>
        </w:rPr>
        <w:drawing>
          <wp:anchor distT="0" distB="0" distL="114300" distR="114300" simplePos="0" relativeHeight="251659264" behindDoc="0" locked="0" layoutInCell="1" allowOverlap="1">
            <wp:simplePos x="0" y="0"/>
            <wp:positionH relativeFrom="column">
              <wp:posOffset>-95250</wp:posOffset>
            </wp:positionH>
            <wp:positionV relativeFrom="paragraph">
              <wp:posOffset>70485</wp:posOffset>
            </wp:positionV>
            <wp:extent cx="2579370" cy="1699260"/>
            <wp:effectExtent l="19050" t="0" r="0" b="0"/>
            <wp:wrapSquare wrapText="bothSides"/>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579370" cy="1699260"/>
                    </a:xfrm>
                    <a:prstGeom prst="rect">
                      <a:avLst/>
                    </a:prstGeom>
                    <a:noFill/>
                    <a:ln w="9525">
                      <a:noFill/>
                      <a:miter lim="800000"/>
                      <a:headEnd/>
                      <a:tailEnd/>
                    </a:ln>
                  </pic:spPr>
                </pic:pic>
              </a:graphicData>
            </a:graphic>
          </wp:anchor>
        </w:drawing>
      </w:r>
    </w:p>
    <w:p w:rsidR="005720C9" w:rsidRPr="005720C9" w:rsidRDefault="005720C9" w:rsidP="005720C9">
      <w:pPr>
        <w:tabs>
          <w:tab w:val="left" w:pos="1425"/>
        </w:tabs>
        <w:bidi w:val="0"/>
        <w:ind w:left="567" w:hanging="567"/>
        <w:rPr>
          <w:rFonts w:ascii="Times New Roman" w:hAnsi="Times New Roman" w:cs="Times New Roman"/>
        </w:rPr>
      </w:pPr>
      <w:r>
        <w:rPr>
          <w:rFonts w:ascii="Times New Roman" w:hAnsi="Times New Roman" w:cs="Times New Roman"/>
        </w:rPr>
        <w:t xml:space="preserve">           Recent publications: </w:t>
      </w:r>
    </w:p>
    <w:p w:rsidR="005720C9" w:rsidRPr="004D0CD2" w:rsidRDefault="005720C9" w:rsidP="005720C9">
      <w:pPr>
        <w:numPr>
          <w:ilvl w:val="0"/>
          <w:numId w:val="2"/>
        </w:numPr>
        <w:autoSpaceDE w:val="0"/>
        <w:autoSpaceDN w:val="0"/>
        <w:bidi w:val="0"/>
        <w:adjustRightInd w:val="0"/>
        <w:spacing w:after="0" w:line="240" w:lineRule="auto"/>
        <w:ind w:left="0" w:firstLine="0"/>
        <w:jc w:val="both"/>
        <w:rPr>
          <w:rFonts w:asciiTheme="majorBidi" w:eastAsia="AdobeFangsongStd-Regular" w:hAnsiTheme="majorBidi" w:cstheme="majorBidi"/>
          <w:sz w:val="24"/>
          <w:szCs w:val="24"/>
        </w:rPr>
      </w:pPr>
      <w:r w:rsidRPr="004D0CD2">
        <w:rPr>
          <w:rFonts w:asciiTheme="majorBidi" w:eastAsia="AdobeFangsongStd-Regular" w:hAnsiTheme="majorBidi" w:cstheme="majorBidi"/>
          <w:sz w:val="24"/>
          <w:szCs w:val="24"/>
        </w:rPr>
        <w:t>Recurrent Hepatitis C Virus (Genotype 4) Infection after Living Donor Liver Transplantation: Risk Factors and Outcome (Main author), published in journal of liver, 2014, ISSN: 2167-0889 JLR, an open access journal.</w:t>
      </w:r>
    </w:p>
    <w:p w:rsidR="005720C9" w:rsidRPr="004D0CD2" w:rsidRDefault="005720C9" w:rsidP="005720C9">
      <w:pPr>
        <w:numPr>
          <w:ilvl w:val="0"/>
          <w:numId w:val="2"/>
        </w:numPr>
        <w:autoSpaceDE w:val="0"/>
        <w:autoSpaceDN w:val="0"/>
        <w:bidi w:val="0"/>
        <w:adjustRightInd w:val="0"/>
        <w:spacing w:after="0" w:line="240" w:lineRule="auto"/>
        <w:ind w:left="0" w:firstLine="0"/>
        <w:jc w:val="both"/>
        <w:rPr>
          <w:rFonts w:asciiTheme="majorBidi" w:eastAsia="AdobeFangsongStd-Regular" w:hAnsiTheme="majorBidi" w:cstheme="majorBidi"/>
          <w:sz w:val="24"/>
          <w:szCs w:val="24"/>
        </w:rPr>
      </w:pPr>
      <w:r w:rsidRPr="004D0CD2">
        <w:rPr>
          <w:rFonts w:asciiTheme="majorBidi" w:eastAsia="AdobeFangsongStd-Regular" w:hAnsiTheme="majorBidi" w:cstheme="majorBidi"/>
          <w:sz w:val="24"/>
          <w:szCs w:val="24"/>
        </w:rPr>
        <w:t xml:space="preserve">     Predictors of Survival after Adult to Adult Living Donor Liver Transplantation (Main author) the full text was published in the international journal of surgical research and practice, an open access journal, September, 2014, volume 1, issue 1. </w:t>
      </w:r>
    </w:p>
    <w:p w:rsidR="005720C9" w:rsidRPr="004D0CD2" w:rsidRDefault="005720C9" w:rsidP="005720C9">
      <w:pPr>
        <w:numPr>
          <w:ilvl w:val="0"/>
          <w:numId w:val="3"/>
        </w:numPr>
        <w:autoSpaceDE w:val="0"/>
        <w:autoSpaceDN w:val="0"/>
        <w:bidi w:val="0"/>
        <w:adjustRightInd w:val="0"/>
        <w:spacing w:after="0" w:line="240" w:lineRule="auto"/>
        <w:ind w:left="0" w:firstLine="0"/>
        <w:jc w:val="both"/>
        <w:rPr>
          <w:rFonts w:asciiTheme="majorBidi" w:hAnsiTheme="majorBidi" w:cstheme="majorBidi"/>
          <w:sz w:val="24"/>
          <w:szCs w:val="24"/>
        </w:rPr>
      </w:pPr>
      <w:r w:rsidRPr="004D0CD2">
        <w:rPr>
          <w:rFonts w:asciiTheme="majorBidi" w:hAnsiTheme="majorBidi" w:cstheme="majorBidi"/>
          <w:sz w:val="24"/>
          <w:szCs w:val="24"/>
        </w:rPr>
        <w:t>Complications and mortality after adult to adult LDLT, A retrospective cohort study (Main author:</w:t>
      </w:r>
      <w:r w:rsidRPr="004D0CD2">
        <w:rPr>
          <w:rFonts w:asciiTheme="majorBidi" w:eastAsia="AdobeFangsongStd-Regular" w:hAnsiTheme="majorBidi" w:cstheme="majorBidi"/>
          <w:sz w:val="24"/>
          <w:szCs w:val="24"/>
        </w:rPr>
        <w:t xml:space="preserve"> the full text was published in </w:t>
      </w:r>
      <w:r w:rsidRPr="004D0CD2">
        <w:rPr>
          <w:rFonts w:asciiTheme="majorBidi" w:hAnsiTheme="majorBidi" w:cstheme="majorBidi"/>
          <w:sz w:val="24"/>
          <w:szCs w:val="24"/>
        </w:rPr>
        <w:t>Annals of Medicine and Surgery, 4 (2015) 162-171.</w:t>
      </w:r>
    </w:p>
    <w:p w:rsidR="005720C9" w:rsidRPr="004D0CD2" w:rsidRDefault="005720C9" w:rsidP="005720C9">
      <w:pPr>
        <w:numPr>
          <w:ilvl w:val="0"/>
          <w:numId w:val="3"/>
        </w:numPr>
        <w:autoSpaceDE w:val="0"/>
        <w:autoSpaceDN w:val="0"/>
        <w:bidi w:val="0"/>
        <w:adjustRightInd w:val="0"/>
        <w:spacing w:after="0" w:line="240" w:lineRule="auto"/>
        <w:ind w:left="0" w:firstLine="0"/>
        <w:jc w:val="both"/>
        <w:rPr>
          <w:rFonts w:asciiTheme="majorBidi" w:eastAsia="AdobeFangsongStd-Regular" w:hAnsiTheme="majorBidi" w:cstheme="majorBidi"/>
          <w:sz w:val="24"/>
          <w:szCs w:val="24"/>
        </w:rPr>
      </w:pPr>
      <w:r w:rsidRPr="004D0CD2">
        <w:rPr>
          <w:rFonts w:asciiTheme="majorBidi" w:hAnsiTheme="majorBidi" w:cstheme="majorBidi"/>
          <w:sz w:val="24"/>
          <w:szCs w:val="24"/>
        </w:rPr>
        <w:t>Vascular Complications after Adult to Adult Living Donor Liver Transplantation: Single Center Experience</w:t>
      </w:r>
      <w:r w:rsidRPr="004D0CD2">
        <w:rPr>
          <w:rFonts w:asciiTheme="majorBidi" w:eastAsia="AdobeFangsongStd-Regular" w:hAnsiTheme="majorBidi" w:cstheme="majorBidi"/>
          <w:sz w:val="24"/>
          <w:szCs w:val="24"/>
        </w:rPr>
        <w:t xml:space="preserve"> </w:t>
      </w:r>
      <w:r w:rsidRPr="004D0CD2">
        <w:rPr>
          <w:rFonts w:asciiTheme="majorBidi" w:hAnsiTheme="majorBidi" w:cstheme="majorBidi"/>
          <w:sz w:val="24"/>
          <w:szCs w:val="24"/>
        </w:rPr>
        <w:t>(Main author):</w:t>
      </w:r>
      <w:r w:rsidRPr="004D0CD2">
        <w:rPr>
          <w:rFonts w:asciiTheme="majorBidi" w:eastAsia="AdobeFangsongStd-Regular" w:hAnsiTheme="majorBidi" w:cstheme="majorBidi"/>
          <w:sz w:val="24"/>
          <w:szCs w:val="24"/>
        </w:rPr>
        <w:t xml:space="preserve"> the full text was published </w:t>
      </w:r>
      <w:r w:rsidRPr="004D0CD2">
        <w:rPr>
          <w:rFonts w:asciiTheme="majorBidi" w:eastAsia="AdobeFangsongStd-Regular" w:hAnsiTheme="majorBidi" w:cstheme="majorBidi"/>
          <w:sz w:val="24"/>
          <w:szCs w:val="24"/>
        </w:rPr>
        <w:lastRenderedPageBreak/>
        <w:t xml:space="preserve">in the international journal of surgical research and practice, an open access journal, September, 2014, volume 1, issue 1. </w:t>
      </w:r>
    </w:p>
    <w:p w:rsidR="005720C9" w:rsidRPr="004D0CD2" w:rsidRDefault="005720C9" w:rsidP="005720C9">
      <w:pPr>
        <w:numPr>
          <w:ilvl w:val="0"/>
          <w:numId w:val="3"/>
        </w:numPr>
        <w:autoSpaceDE w:val="0"/>
        <w:autoSpaceDN w:val="0"/>
        <w:bidi w:val="0"/>
        <w:adjustRightInd w:val="0"/>
        <w:spacing w:after="0" w:line="240" w:lineRule="auto"/>
        <w:ind w:left="0" w:firstLine="0"/>
        <w:jc w:val="both"/>
        <w:rPr>
          <w:rFonts w:asciiTheme="majorBidi" w:hAnsiTheme="majorBidi" w:cstheme="majorBidi"/>
          <w:sz w:val="24"/>
          <w:szCs w:val="24"/>
        </w:rPr>
      </w:pPr>
      <w:r w:rsidRPr="004D0CD2">
        <w:rPr>
          <w:rFonts w:asciiTheme="majorBidi" w:eastAsia="AdobeFangsongStd-Regular" w:hAnsiTheme="majorBidi" w:cstheme="majorBidi"/>
          <w:sz w:val="24"/>
          <w:szCs w:val="24"/>
        </w:rPr>
        <w:t xml:space="preserve"> </w:t>
      </w:r>
      <w:r w:rsidRPr="004D0CD2">
        <w:rPr>
          <w:rFonts w:asciiTheme="majorBidi" w:hAnsiTheme="majorBidi" w:cstheme="majorBidi"/>
          <w:sz w:val="24"/>
          <w:szCs w:val="24"/>
        </w:rPr>
        <w:t xml:space="preserve">Hepatic arterial and portal venous complications after adult and pediatric living donor liver transplantation, risk factors, management and outcome (A retrospective cohort study) (Main author). </w:t>
      </w:r>
      <w:r w:rsidRPr="004D0CD2">
        <w:rPr>
          <w:rFonts w:asciiTheme="majorBidi" w:hAnsiTheme="majorBidi" w:cstheme="majorBidi"/>
          <w:color w:val="000000"/>
          <w:sz w:val="24"/>
          <w:szCs w:val="24"/>
        </w:rPr>
        <w:t>the full text was published in</w:t>
      </w:r>
      <w:r w:rsidRPr="004D0CD2">
        <w:rPr>
          <w:rFonts w:asciiTheme="majorBidi" w:eastAsia="AdobeFangsongStd-Regular" w:hAnsiTheme="majorBidi" w:cstheme="majorBidi"/>
          <w:sz w:val="24"/>
          <w:szCs w:val="24"/>
        </w:rPr>
        <w:t xml:space="preserve"> </w:t>
      </w:r>
      <w:r w:rsidRPr="004D0CD2">
        <w:rPr>
          <w:rFonts w:asciiTheme="majorBidi" w:hAnsiTheme="majorBidi" w:cstheme="majorBidi"/>
          <w:sz w:val="24"/>
          <w:szCs w:val="24"/>
        </w:rPr>
        <w:t>Annals of Medicine and Surgery journal, 8 (2016) 28-39.</w:t>
      </w:r>
    </w:p>
    <w:p w:rsidR="005720C9" w:rsidRPr="004D0CD2" w:rsidRDefault="005720C9" w:rsidP="005720C9">
      <w:pPr>
        <w:numPr>
          <w:ilvl w:val="0"/>
          <w:numId w:val="3"/>
        </w:numPr>
        <w:autoSpaceDE w:val="0"/>
        <w:autoSpaceDN w:val="0"/>
        <w:bidi w:val="0"/>
        <w:adjustRightInd w:val="0"/>
        <w:spacing w:after="0" w:line="240" w:lineRule="auto"/>
        <w:ind w:left="0" w:firstLine="0"/>
        <w:jc w:val="both"/>
        <w:rPr>
          <w:rFonts w:asciiTheme="majorBidi" w:hAnsiTheme="majorBidi" w:cstheme="majorBidi"/>
          <w:color w:val="000000"/>
          <w:sz w:val="24"/>
          <w:szCs w:val="24"/>
        </w:rPr>
      </w:pPr>
      <w:r w:rsidRPr="004D0CD2">
        <w:rPr>
          <w:rFonts w:asciiTheme="majorBidi" w:hAnsiTheme="majorBidi" w:cstheme="majorBidi"/>
          <w:sz w:val="24"/>
          <w:szCs w:val="24"/>
        </w:rPr>
        <w:t>Early (&lt;6 months) Mortality after Adult to Adult Living Donor Liver Transplantation, Single Centre Experience: A Retrospective Cohort Study. (Main author)</w:t>
      </w:r>
      <w:r w:rsidRPr="004D0CD2">
        <w:rPr>
          <w:rFonts w:asciiTheme="majorBidi" w:eastAsia="AdobeFangsongStd-Regular" w:hAnsiTheme="majorBidi" w:cstheme="majorBidi"/>
          <w:sz w:val="24"/>
          <w:szCs w:val="24"/>
        </w:rPr>
        <w:t xml:space="preserve"> </w:t>
      </w:r>
      <w:r w:rsidRPr="004D0CD2">
        <w:rPr>
          <w:rFonts w:asciiTheme="majorBidi" w:hAnsiTheme="majorBidi" w:cstheme="majorBidi"/>
          <w:color w:val="000000"/>
          <w:sz w:val="24"/>
          <w:szCs w:val="24"/>
        </w:rPr>
        <w:t>the full text was published in Journal of Liver: Disease &amp; Transplantation, Gad et al., J Liver: Dis Transplant 2016, 5:1, doi:http://dx.doi.org/10.4172/2325-9612.1000135.</w:t>
      </w:r>
    </w:p>
    <w:p w:rsidR="005720C9" w:rsidRPr="004D0CD2" w:rsidRDefault="005720C9" w:rsidP="005720C9">
      <w:pPr>
        <w:numPr>
          <w:ilvl w:val="0"/>
          <w:numId w:val="3"/>
        </w:numPr>
        <w:autoSpaceDE w:val="0"/>
        <w:autoSpaceDN w:val="0"/>
        <w:bidi w:val="0"/>
        <w:adjustRightInd w:val="0"/>
        <w:spacing w:after="0" w:line="240" w:lineRule="auto"/>
        <w:ind w:left="0" w:firstLine="0"/>
        <w:jc w:val="both"/>
        <w:rPr>
          <w:rFonts w:asciiTheme="majorBidi" w:hAnsiTheme="majorBidi" w:cstheme="majorBidi"/>
          <w:color w:val="000000"/>
          <w:sz w:val="24"/>
          <w:szCs w:val="24"/>
        </w:rPr>
      </w:pPr>
      <w:r w:rsidRPr="004D0CD2">
        <w:rPr>
          <w:rFonts w:asciiTheme="majorBidi" w:hAnsiTheme="majorBidi" w:cstheme="majorBidi"/>
          <w:color w:val="000000"/>
          <w:sz w:val="24"/>
          <w:szCs w:val="24"/>
        </w:rPr>
        <w:t>Hepatic resection for hepatocellular carcinoma in cirrhotic patients with portal hypertension: the full text was published in</w:t>
      </w:r>
      <w:r w:rsidRPr="004D0CD2">
        <w:rPr>
          <w:rFonts w:asciiTheme="majorBidi" w:eastAsia="AdobeFangsongStd-Regular" w:hAnsiTheme="majorBidi" w:cstheme="majorBidi"/>
          <w:sz w:val="24"/>
          <w:szCs w:val="24"/>
        </w:rPr>
        <w:t xml:space="preserve"> </w:t>
      </w:r>
      <w:r w:rsidRPr="004D0CD2">
        <w:rPr>
          <w:rFonts w:asciiTheme="majorBidi" w:hAnsiTheme="majorBidi" w:cstheme="majorBidi"/>
          <w:sz w:val="24"/>
          <w:szCs w:val="24"/>
        </w:rPr>
        <w:t>Surgical practice journal: doi:10.1111/1744-1633.12215, Surgical Practice (2016) 20, 149–156</w:t>
      </w:r>
      <w:r w:rsidRPr="004D0CD2">
        <w:rPr>
          <w:rFonts w:asciiTheme="majorBidi" w:hAnsiTheme="majorBidi" w:cstheme="majorBidi"/>
          <w:color w:val="000000"/>
          <w:sz w:val="24"/>
          <w:szCs w:val="24"/>
        </w:rPr>
        <w:t>.</w:t>
      </w:r>
    </w:p>
    <w:p w:rsidR="005720C9" w:rsidRPr="004D0CD2" w:rsidRDefault="005720C9" w:rsidP="005720C9">
      <w:pPr>
        <w:numPr>
          <w:ilvl w:val="0"/>
          <w:numId w:val="3"/>
        </w:numPr>
        <w:autoSpaceDE w:val="0"/>
        <w:autoSpaceDN w:val="0"/>
        <w:bidi w:val="0"/>
        <w:adjustRightInd w:val="0"/>
        <w:spacing w:after="0" w:line="240" w:lineRule="auto"/>
        <w:ind w:left="0" w:firstLine="0"/>
        <w:jc w:val="both"/>
        <w:rPr>
          <w:rFonts w:asciiTheme="majorBidi" w:hAnsiTheme="majorBidi" w:cstheme="majorBidi"/>
          <w:sz w:val="24"/>
          <w:szCs w:val="24"/>
        </w:rPr>
      </w:pPr>
      <w:r w:rsidRPr="004D0CD2">
        <w:rPr>
          <w:rFonts w:asciiTheme="majorBidi" w:hAnsiTheme="majorBidi" w:cstheme="majorBidi"/>
          <w:sz w:val="24"/>
          <w:szCs w:val="24"/>
        </w:rPr>
        <w:t>Laparoscopic management of parasitic liver cysts: publication by  the Saudi Surgical Journal 2017;5:35-9</w:t>
      </w:r>
    </w:p>
    <w:p w:rsidR="005720C9" w:rsidRPr="004D0CD2" w:rsidRDefault="005720C9" w:rsidP="005720C9">
      <w:pPr>
        <w:numPr>
          <w:ilvl w:val="0"/>
          <w:numId w:val="3"/>
        </w:numPr>
        <w:autoSpaceDE w:val="0"/>
        <w:autoSpaceDN w:val="0"/>
        <w:bidi w:val="0"/>
        <w:adjustRightInd w:val="0"/>
        <w:spacing w:after="0" w:line="240" w:lineRule="auto"/>
        <w:ind w:left="0" w:firstLine="0"/>
        <w:jc w:val="both"/>
        <w:rPr>
          <w:rFonts w:asciiTheme="majorBidi" w:hAnsiTheme="majorBidi" w:cstheme="majorBidi"/>
          <w:sz w:val="24"/>
          <w:szCs w:val="24"/>
        </w:rPr>
      </w:pPr>
      <w:r w:rsidRPr="004D0CD2">
        <w:rPr>
          <w:rFonts w:asciiTheme="majorBidi" w:hAnsiTheme="majorBidi" w:cstheme="majorBidi"/>
          <w:sz w:val="24"/>
          <w:szCs w:val="24"/>
        </w:rPr>
        <w:t>Small for Size Syndrome difficult dilemma: lessons from 10 years single centre experience in living donor liver transplantation.</w:t>
      </w:r>
      <w:r w:rsidRPr="004D0CD2">
        <w:rPr>
          <w:rFonts w:asciiTheme="majorBidi" w:eastAsia="AdobeFangsongStd-Regular" w:hAnsiTheme="majorBidi" w:cstheme="majorBidi"/>
          <w:sz w:val="24"/>
          <w:szCs w:val="24"/>
        </w:rPr>
        <w:t xml:space="preserve"> The full text was published in world journal of hepatology World J Hepatol 2017 July 28; 9(21): 930-944.</w:t>
      </w:r>
    </w:p>
    <w:p w:rsidR="005720C9" w:rsidRPr="004D0CD2" w:rsidRDefault="00FC4DB1" w:rsidP="005720C9">
      <w:pPr>
        <w:numPr>
          <w:ilvl w:val="0"/>
          <w:numId w:val="3"/>
        </w:numPr>
        <w:autoSpaceDE w:val="0"/>
        <w:autoSpaceDN w:val="0"/>
        <w:bidi w:val="0"/>
        <w:adjustRightInd w:val="0"/>
        <w:spacing w:after="0" w:line="240" w:lineRule="auto"/>
        <w:ind w:left="0" w:firstLine="0"/>
        <w:jc w:val="both"/>
        <w:rPr>
          <w:rFonts w:asciiTheme="majorBidi" w:hAnsiTheme="majorBidi" w:cstheme="majorBidi"/>
          <w:color w:val="000000"/>
          <w:sz w:val="24"/>
          <w:szCs w:val="24"/>
        </w:rPr>
      </w:pPr>
      <w:r>
        <w:rPr>
          <w:rFonts w:asciiTheme="majorBidi" w:hAnsiTheme="majorBidi" w:cstheme="majorBidi"/>
          <w:noProof/>
          <w:sz w:val="24"/>
          <w:szCs w:val="24"/>
        </w:rPr>
        <w:drawing>
          <wp:anchor distT="0" distB="0" distL="114300" distR="114300" simplePos="0" relativeHeight="251661312" behindDoc="0" locked="0" layoutInCell="1" allowOverlap="1">
            <wp:simplePos x="0" y="0"/>
            <wp:positionH relativeFrom="column">
              <wp:posOffset>4743450</wp:posOffset>
            </wp:positionH>
            <wp:positionV relativeFrom="paragraph">
              <wp:posOffset>777240</wp:posOffset>
            </wp:positionV>
            <wp:extent cx="1512570" cy="1135380"/>
            <wp:effectExtent l="19050" t="0" r="0" b="0"/>
            <wp:wrapSquare wrapText="bothSides"/>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1512570" cy="1135380"/>
                    </a:xfrm>
                    <a:prstGeom prst="rect">
                      <a:avLst/>
                    </a:prstGeom>
                    <a:noFill/>
                    <a:ln w="9525">
                      <a:noFill/>
                      <a:miter lim="800000"/>
                      <a:headEnd/>
                      <a:tailEnd/>
                    </a:ln>
                  </pic:spPr>
                </pic:pic>
              </a:graphicData>
            </a:graphic>
          </wp:anchor>
        </w:drawing>
      </w:r>
      <w:r w:rsidR="005720C9" w:rsidRPr="004D0CD2">
        <w:rPr>
          <w:rFonts w:asciiTheme="majorBidi" w:hAnsiTheme="majorBidi" w:cstheme="majorBidi"/>
          <w:sz w:val="24"/>
          <w:szCs w:val="24"/>
        </w:rPr>
        <w:t xml:space="preserve">Living Donor Liver Transplantation for Patients with Pre-existent Portal Vein Thrombosis: </w:t>
      </w:r>
      <w:r w:rsidR="005720C9" w:rsidRPr="004D0CD2">
        <w:rPr>
          <w:rFonts w:asciiTheme="majorBidi" w:hAnsiTheme="majorBidi" w:cstheme="majorBidi"/>
          <w:color w:val="000000"/>
          <w:sz w:val="24"/>
          <w:szCs w:val="24"/>
        </w:rPr>
        <w:t>the full text was published in</w:t>
      </w:r>
      <w:r w:rsidR="005720C9" w:rsidRPr="004D0CD2">
        <w:rPr>
          <w:rFonts w:asciiTheme="majorBidi" w:eastAsia="AdobeFangsongStd-Regular" w:hAnsiTheme="majorBidi" w:cstheme="majorBidi"/>
          <w:sz w:val="24"/>
          <w:szCs w:val="24"/>
        </w:rPr>
        <w:t xml:space="preserve"> </w:t>
      </w:r>
      <w:r w:rsidR="005720C9" w:rsidRPr="004D0CD2">
        <w:rPr>
          <w:rFonts w:asciiTheme="majorBidi" w:hAnsiTheme="majorBidi" w:cstheme="majorBidi"/>
          <w:sz w:val="24"/>
          <w:szCs w:val="24"/>
        </w:rPr>
        <w:t xml:space="preserve">Journal of Liver: </w:t>
      </w:r>
      <w:r w:rsidR="005720C9" w:rsidRPr="004D0CD2">
        <w:rPr>
          <w:rFonts w:asciiTheme="majorBidi" w:hAnsiTheme="majorBidi" w:cstheme="majorBidi"/>
          <w:color w:val="000000"/>
          <w:sz w:val="24"/>
          <w:szCs w:val="24"/>
        </w:rPr>
        <w:t>Zakaria HM, Taha M, Gad EH, Soliman HE, Hegazy O, et al. (2017) Living Donor Liver Transplantation for Patients with Pre-existent Portal Vein Thrombosis. J Liver 6: 214. doi:</w:t>
      </w:r>
      <w:r w:rsidR="005720C9" w:rsidRPr="004D0CD2">
        <w:rPr>
          <w:rFonts w:asciiTheme="majorBidi" w:hAnsiTheme="majorBidi" w:cstheme="majorBidi"/>
          <w:color w:val="185FA2"/>
          <w:sz w:val="24"/>
          <w:szCs w:val="24"/>
        </w:rPr>
        <w:t>10.4172/2167-0889.1000214</w:t>
      </w:r>
    </w:p>
    <w:p w:rsidR="005720C9" w:rsidRPr="005720C9" w:rsidRDefault="005720C9" w:rsidP="005720C9">
      <w:pPr>
        <w:tabs>
          <w:tab w:val="left" w:pos="1425"/>
        </w:tabs>
        <w:bidi w:val="0"/>
        <w:rPr>
          <w:rFonts w:ascii="Times New Roman" w:hAnsi="Times New Roman" w:cs="Times New Roman"/>
        </w:rPr>
      </w:pPr>
    </w:p>
    <w:p w:rsidR="005720C9" w:rsidRPr="005720C9" w:rsidRDefault="005720C9" w:rsidP="005720C9">
      <w:pPr>
        <w:pStyle w:val="BodyText2"/>
        <w:spacing w:line="360" w:lineRule="auto"/>
        <w:jc w:val="both"/>
        <w:rPr>
          <w:rFonts w:asciiTheme="majorBidi" w:hAnsiTheme="majorBidi" w:cstheme="majorBidi"/>
          <w:szCs w:val="24"/>
        </w:rPr>
      </w:pPr>
      <w:r w:rsidRPr="005720C9">
        <w:rPr>
          <w:rFonts w:asciiTheme="majorBidi" w:hAnsiTheme="majorBidi" w:cstheme="majorBidi"/>
          <w:szCs w:val="24"/>
        </w:rPr>
        <w:t xml:space="preserve">Biography: </w:t>
      </w:r>
    </w:p>
    <w:p w:rsidR="005720C9" w:rsidRPr="005720C9" w:rsidRDefault="005720C9" w:rsidP="005720C9">
      <w:pPr>
        <w:pStyle w:val="BodyText2"/>
        <w:spacing w:line="360" w:lineRule="auto"/>
        <w:jc w:val="both"/>
        <w:rPr>
          <w:rFonts w:asciiTheme="majorBidi" w:hAnsiTheme="majorBidi" w:cstheme="majorBidi"/>
          <w:szCs w:val="24"/>
        </w:rPr>
      </w:pPr>
      <w:r w:rsidRPr="005720C9">
        <w:rPr>
          <w:rFonts w:asciiTheme="majorBidi" w:hAnsiTheme="majorBidi" w:cstheme="majorBidi"/>
          <w:szCs w:val="24"/>
        </w:rPr>
        <w:t>Currently I am working as associate professor of surgery in the Department of Transplantation, Hepatobiliary &amp; Pancreatic surgery. National Liver Institute, University of Minoufiya, Shibin El-Kom, Minoufiya, Egypt and Consultant, general surgery, hepatobiliary surgery in King Faisal hospital, Taif, KSA. I worked as specialist in general surgery in Alganzoury private hospital in Cairo, Egypt  from 2008 to 2014( part time)</w:t>
      </w:r>
    </w:p>
    <w:p w:rsidR="005720C9" w:rsidRPr="005720C9" w:rsidRDefault="005720C9" w:rsidP="005720C9">
      <w:pPr>
        <w:pStyle w:val="BodyText2"/>
        <w:spacing w:line="360" w:lineRule="auto"/>
        <w:jc w:val="both"/>
        <w:rPr>
          <w:rFonts w:asciiTheme="majorBidi" w:hAnsiTheme="majorBidi" w:cstheme="majorBidi"/>
          <w:szCs w:val="24"/>
        </w:rPr>
      </w:pPr>
      <w:r w:rsidRPr="005720C9">
        <w:rPr>
          <w:rFonts w:asciiTheme="majorBidi" w:hAnsiTheme="majorBidi" w:cstheme="majorBidi"/>
          <w:szCs w:val="24"/>
        </w:rPr>
        <w:t>I worked as consultant hepatopancreatobiliary and laparoscopic surgery in King Khaled hospital (General surgery and trauma hospital) in Hail in KSA for 6 months (Locum) from 2/ 2015 to 8/2015</w:t>
      </w:r>
    </w:p>
    <w:p w:rsidR="005720C9" w:rsidRPr="005720C9" w:rsidRDefault="005720C9" w:rsidP="005720C9">
      <w:pPr>
        <w:pStyle w:val="BodyText2"/>
        <w:spacing w:line="360" w:lineRule="auto"/>
        <w:jc w:val="both"/>
        <w:rPr>
          <w:rFonts w:asciiTheme="majorBidi" w:hAnsiTheme="majorBidi" w:cstheme="majorBidi"/>
          <w:szCs w:val="24"/>
        </w:rPr>
      </w:pPr>
      <w:r w:rsidRPr="005720C9">
        <w:rPr>
          <w:rFonts w:asciiTheme="majorBidi" w:hAnsiTheme="majorBidi" w:cstheme="majorBidi"/>
          <w:szCs w:val="24"/>
        </w:rPr>
        <w:t>I worked as consultant general surgery in Alnile hospital, Gherghada, Egypt from 3/2016 until 8/2016.</w:t>
      </w:r>
    </w:p>
    <w:p w:rsidR="005720C9" w:rsidRPr="005720C9" w:rsidRDefault="005720C9" w:rsidP="005720C9">
      <w:pPr>
        <w:tabs>
          <w:tab w:val="left" w:pos="1425"/>
        </w:tabs>
        <w:bidi w:val="0"/>
        <w:rPr>
          <w:rFonts w:ascii="Times New Roman" w:hAnsi="Times New Roman" w:cs="Times New Roman"/>
          <w:lang w:val="en-GB"/>
        </w:rPr>
      </w:pPr>
    </w:p>
    <w:p w:rsidR="005720C9" w:rsidRPr="00DC0DA7" w:rsidRDefault="005720C9" w:rsidP="005720C9">
      <w:pPr>
        <w:bidi w:val="0"/>
      </w:pPr>
    </w:p>
    <w:p w:rsidR="005720C9" w:rsidRPr="00DC0DA7" w:rsidRDefault="005720C9" w:rsidP="005720C9">
      <w:pPr>
        <w:tabs>
          <w:tab w:val="left" w:pos="1575"/>
        </w:tabs>
        <w:bidi w:val="0"/>
      </w:pPr>
    </w:p>
    <w:sectPr w:rsidR="005720C9" w:rsidRPr="00DC0DA7" w:rsidSect="00970016">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432" w:rsidRDefault="00A31432" w:rsidP="005720C9">
      <w:pPr>
        <w:spacing w:after="0" w:line="240" w:lineRule="auto"/>
      </w:pPr>
      <w:r>
        <w:separator/>
      </w:r>
    </w:p>
  </w:endnote>
  <w:endnote w:type="continuationSeparator" w:id="1">
    <w:p w:rsidR="00A31432" w:rsidRDefault="00A31432" w:rsidP="005720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dobeFangsongStd-Regular">
    <w:altName w:val="Arial Unicode MS"/>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432" w:rsidRDefault="00A31432" w:rsidP="005720C9">
      <w:pPr>
        <w:spacing w:after="0" w:line="240" w:lineRule="auto"/>
      </w:pPr>
      <w:r>
        <w:separator/>
      </w:r>
    </w:p>
  </w:footnote>
  <w:footnote w:type="continuationSeparator" w:id="1">
    <w:p w:rsidR="00A31432" w:rsidRDefault="00A31432" w:rsidP="005720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45A81"/>
    <w:multiLevelType w:val="hybridMultilevel"/>
    <w:tmpl w:val="EBB62C3A"/>
    <w:lvl w:ilvl="0" w:tplc="AD8A18B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E458ED"/>
    <w:multiLevelType w:val="hybridMultilevel"/>
    <w:tmpl w:val="634A9F3E"/>
    <w:lvl w:ilvl="0" w:tplc="AD8A18BA">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9B6524"/>
    <w:multiLevelType w:val="hybridMultilevel"/>
    <w:tmpl w:val="11E6F460"/>
    <w:lvl w:ilvl="0" w:tplc="D87457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20"/>
  <w:characterSpacingControl w:val="doNotCompress"/>
  <w:footnotePr>
    <w:footnote w:id="0"/>
    <w:footnote w:id="1"/>
  </w:footnotePr>
  <w:endnotePr>
    <w:endnote w:id="0"/>
    <w:endnote w:id="1"/>
  </w:endnotePr>
  <w:compat/>
  <w:rsids>
    <w:rsidRoot w:val="002C0A35"/>
    <w:rsid w:val="00017459"/>
    <w:rsid w:val="00017BA6"/>
    <w:rsid w:val="00263571"/>
    <w:rsid w:val="002C0A35"/>
    <w:rsid w:val="00323BD6"/>
    <w:rsid w:val="003E25B2"/>
    <w:rsid w:val="00511BF5"/>
    <w:rsid w:val="005720C9"/>
    <w:rsid w:val="00591FE9"/>
    <w:rsid w:val="00823B9C"/>
    <w:rsid w:val="00970016"/>
    <w:rsid w:val="00A31432"/>
    <w:rsid w:val="00A73E18"/>
    <w:rsid w:val="00A85465"/>
    <w:rsid w:val="00B63E22"/>
    <w:rsid w:val="00FC4DB1"/>
    <w:rsid w:val="00FD453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3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3E18"/>
    <w:pPr>
      <w:ind w:left="720"/>
      <w:contextualSpacing/>
    </w:pPr>
    <w:rPr>
      <w:rFonts w:ascii="Calibri" w:eastAsia="Calibri" w:hAnsi="Calibri" w:cs="Arial"/>
    </w:rPr>
  </w:style>
  <w:style w:type="paragraph" w:styleId="BodyText2">
    <w:name w:val="Body Text 2"/>
    <w:basedOn w:val="Normal"/>
    <w:link w:val="BodyText2Char"/>
    <w:rsid w:val="005720C9"/>
    <w:pPr>
      <w:bidi w:val="0"/>
      <w:spacing w:after="0" w:line="240" w:lineRule="auto"/>
    </w:pPr>
    <w:rPr>
      <w:rFonts w:ascii="Arial" w:eastAsia="Times New Roman" w:hAnsi="Arial" w:cs="Arial"/>
      <w:bCs/>
      <w:snapToGrid w:val="0"/>
      <w:sz w:val="24"/>
      <w:szCs w:val="20"/>
      <w:lang w:val="en-GB"/>
    </w:rPr>
  </w:style>
  <w:style w:type="character" w:customStyle="1" w:styleId="BodyText2Char">
    <w:name w:val="Body Text 2 Char"/>
    <w:basedOn w:val="DefaultParagraphFont"/>
    <w:link w:val="BodyText2"/>
    <w:rsid w:val="005720C9"/>
    <w:rPr>
      <w:rFonts w:ascii="Arial" w:eastAsia="Times New Roman" w:hAnsi="Arial" w:cs="Arial"/>
      <w:bCs/>
      <w:snapToGrid w:val="0"/>
      <w:sz w:val="24"/>
      <w:szCs w:val="20"/>
      <w:lang w:val="en-GB"/>
    </w:rPr>
  </w:style>
  <w:style w:type="paragraph" w:styleId="Header">
    <w:name w:val="header"/>
    <w:basedOn w:val="Normal"/>
    <w:link w:val="HeaderChar"/>
    <w:uiPriority w:val="99"/>
    <w:semiHidden/>
    <w:unhideWhenUsed/>
    <w:rsid w:val="005720C9"/>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5720C9"/>
  </w:style>
  <w:style w:type="paragraph" w:styleId="Footer">
    <w:name w:val="footer"/>
    <w:basedOn w:val="Normal"/>
    <w:link w:val="FooterChar"/>
    <w:uiPriority w:val="99"/>
    <w:semiHidden/>
    <w:unhideWhenUsed/>
    <w:rsid w:val="005720C9"/>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5720C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942</Words>
  <Characters>5370</Characters>
  <Application>Microsoft Office Word</Application>
  <DocSecurity>0</DocSecurity>
  <Lines>44</Lines>
  <Paragraphs>12</Paragraphs>
  <ScaleCrop>false</ScaleCrop>
  <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Alresala</dc:creator>
  <cp:lastModifiedBy>Alresala</cp:lastModifiedBy>
  <cp:revision>6</cp:revision>
  <dcterms:created xsi:type="dcterms:W3CDTF">2017-12-04T20:34:00Z</dcterms:created>
  <dcterms:modified xsi:type="dcterms:W3CDTF">2017-12-07T21:22:00Z</dcterms:modified>
</cp:coreProperties>
</file>