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AA9" w:rsidRDefault="007E0AA9" w:rsidP="007E0AA9">
      <w:pPr>
        <w:spacing w:before="0" w:after="0" w:line="276" w:lineRule="auto"/>
        <w:jc w:val="right"/>
        <w:rPr>
          <w:rFonts w:eastAsia="Times New Roman" w:cs="Times New Roman"/>
          <w:b/>
          <w:bCs/>
          <w:caps/>
          <w:snapToGrid w:val="0"/>
          <w:spacing w:val="-6"/>
          <w:sz w:val="40"/>
          <w:szCs w:val="40"/>
        </w:rPr>
      </w:pPr>
      <w:bookmarkStart w:id="0" w:name="_GoBack"/>
      <w:bookmarkEnd w:id="0"/>
      <w:r>
        <w:rPr>
          <w:rFonts w:eastAsia="Times New Roman" w:cs="Times New Roman"/>
          <w:b/>
          <w:bCs/>
          <w:caps/>
          <w:noProof/>
          <w:spacing w:val="-6"/>
          <w:sz w:val="40"/>
          <w:szCs w:val="40"/>
        </w:rPr>
        <w:drawing>
          <wp:inline distT="0" distB="0" distL="0" distR="0" wp14:anchorId="2FE06E17" wp14:editId="4FEC3A40">
            <wp:extent cx="1128050" cy="1767084"/>
            <wp:effectExtent l="0" t="0" r="0" b="5080"/>
            <wp:docPr id="1" name="Picture 1" descr="D:\hadeersalah\Poster\Conference\New Folder\RA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adeersalah\Poster\Conference\New Folder\RAW\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8006" cy="1767015"/>
                    </a:xfrm>
                    <a:prstGeom prst="rect">
                      <a:avLst/>
                    </a:prstGeom>
                    <a:noFill/>
                    <a:ln>
                      <a:noFill/>
                    </a:ln>
                  </pic:spPr>
                </pic:pic>
              </a:graphicData>
            </a:graphic>
          </wp:inline>
        </w:drawing>
      </w:r>
    </w:p>
    <w:p w:rsidR="007E0AA9" w:rsidRDefault="007E0AA9" w:rsidP="005F0A29">
      <w:pPr>
        <w:spacing w:before="0" w:after="0" w:line="276" w:lineRule="auto"/>
        <w:jc w:val="center"/>
        <w:rPr>
          <w:rFonts w:eastAsia="Times New Roman" w:cs="Times New Roman"/>
          <w:b/>
          <w:bCs/>
          <w:caps/>
          <w:snapToGrid w:val="0"/>
          <w:spacing w:val="-6"/>
          <w:sz w:val="40"/>
          <w:szCs w:val="40"/>
        </w:rPr>
      </w:pPr>
    </w:p>
    <w:p w:rsidR="00D169A4" w:rsidRDefault="00D169A4" w:rsidP="005F0A29">
      <w:pPr>
        <w:spacing w:before="0" w:after="0" w:line="276" w:lineRule="auto"/>
        <w:jc w:val="center"/>
        <w:rPr>
          <w:rFonts w:eastAsia="Times New Roman" w:cs="Times New Roman"/>
          <w:b/>
          <w:bCs/>
          <w:caps/>
          <w:snapToGrid w:val="0"/>
          <w:spacing w:val="-6"/>
          <w:sz w:val="40"/>
          <w:szCs w:val="40"/>
        </w:rPr>
      </w:pPr>
      <w:r>
        <w:rPr>
          <w:rFonts w:eastAsia="Times New Roman" w:cs="Times New Roman"/>
          <w:b/>
          <w:bCs/>
          <w:caps/>
          <w:snapToGrid w:val="0"/>
          <w:spacing w:val="-6"/>
          <w:sz w:val="40"/>
          <w:szCs w:val="40"/>
        </w:rPr>
        <w:t xml:space="preserve">Assessment of </w:t>
      </w:r>
      <w:r w:rsidR="00322363">
        <w:rPr>
          <w:rFonts w:eastAsia="Times New Roman" w:cs="Times New Roman"/>
          <w:b/>
          <w:bCs/>
          <w:caps/>
          <w:snapToGrid w:val="0"/>
          <w:spacing w:val="-6"/>
          <w:sz w:val="40"/>
          <w:szCs w:val="40"/>
        </w:rPr>
        <w:t>transverse dental Arch relationship</w:t>
      </w:r>
      <w:r w:rsidR="005F0A29">
        <w:rPr>
          <w:rFonts w:eastAsia="Times New Roman" w:cs="Times New Roman"/>
          <w:b/>
          <w:bCs/>
          <w:caps/>
          <w:snapToGrid w:val="0"/>
          <w:spacing w:val="-6"/>
          <w:sz w:val="40"/>
          <w:szCs w:val="40"/>
        </w:rPr>
        <w:t xml:space="preserve"> and occlusion</w:t>
      </w:r>
      <w:r w:rsidR="00322363">
        <w:rPr>
          <w:rFonts w:eastAsia="Times New Roman" w:cs="Times New Roman"/>
          <w:b/>
          <w:bCs/>
          <w:caps/>
          <w:snapToGrid w:val="0"/>
          <w:spacing w:val="-6"/>
          <w:sz w:val="40"/>
          <w:szCs w:val="40"/>
        </w:rPr>
        <w:t xml:space="preserve"> </w:t>
      </w:r>
      <w:r>
        <w:rPr>
          <w:rFonts w:eastAsia="Times New Roman" w:cs="Times New Roman"/>
          <w:b/>
          <w:bCs/>
          <w:caps/>
          <w:snapToGrid w:val="0"/>
          <w:spacing w:val="-6"/>
          <w:sz w:val="40"/>
          <w:szCs w:val="40"/>
        </w:rPr>
        <w:t xml:space="preserve">in surgicalLY repairED Unilateral Cleft Lip and Palate Children </w:t>
      </w:r>
    </w:p>
    <w:p w:rsidR="00D169A4" w:rsidRDefault="00D169A4" w:rsidP="00D169A4">
      <w:pPr>
        <w:spacing w:before="0" w:after="0" w:line="276" w:lineRule="auto"/>
        <w:jc w:val="center"/>
        <w:rPr>
          <w:rFonts w:eastAsia="Times New Roman" w:cs="Times New Roman"/>
          <w:b/>
          <w:bCs/>
          <w:caps/>
          <w:snapToGrid w:val="0"/>
          <w:spacing w:val="-6"/>
          <w:sz w:val="40"/>
          <w:szCs w:val="40"/>
        </w:rPr>
      </w:pPr>
    </w:p>
    <w:p w:rsidR="008E2F73" w:rsidRPr="008E2F73" w:rsidRDefault="008E2F73" w:rsidP="008E2F73">
      <w:pPr>
        <w:spacing w:before="200" w:after="0" w:line="480" w:lineRule="auto"/>
        <w:jc w:val="center"/>
        <w:rPr>
          <w:rFonts w:asciiTheme="majorBidi" w:eastAsia="Times New Roman" w:hAnsiTheme="majorBidi" w:cstheme="majorBidi"/>
          <w:b/>
          <w:bCs/>
          <w:snapToGrid w:val="0"/>
          <w:sz w:val="24"/>
          <w:szCs w:val="24"/>
          <w:lang w:bidi="ar-EG"/>
        </w:rPr>
      </w:pPr>
      <w:r w:rsidRPr="008E2F73">
        <w:rPr>
          <w:rFonts w:asciiTheme="majorBidi" w:eastAsia="Times New Roman" w:hAnsiTheme="majorBidi" w:cstheme="majorBidi"/>
          <w:b/>
          <w:bCs/>
          <w:snapToGrid w:val="0"/>
          <w:sz w:val="24"/>
          <w:szCs w:val="24"/>
          <w:lang w:bidi="ar-EG"/>
        </w:rPr>
        <w:t xml:space="preserve">Baraka M </w:t>
      </w:r>
      <w:r w:rsidRPr="008E2F73">
        <w:rPr>
          <w:rFonts w:asciiTheme="majorBidi" w:eastAsia="Times New Roman" w:hAnsiTheme="majorBidi" w:cstheme="majorBidi"/>
          <w:b/>
          <w:bCs/>
          <w:snapToGrid w:val="0"/>
          <w:sz w:val="24"/>
          <w:szCs w:val="24"/>
          <w:vertAlign w:val="superscript"/>
          <w:lang w:bidi="ar-EG"/>
        </w:rPr>
        <w:t>1</w:t>
      </w:r>
      <w:r w:rsidRPr="008E2F73">
        <w:rPr>
          <w:rFonts w:asciiTheme="majorBidi" w:eastAsia="Times New Roman" w:hAnsiTheme="majorBidi" w:cstheme="majorBidi"/>
          <w:b/>
          <w:bCs/>
          <w:snapToGrid w:val="0"/>
          <w:sz w:val="24"/>
          <w:szCs w:val="24"/>
          <w:lang w:bidi="ar-EG"/>
        </w:rPr>
        <w:t xml:space="preserve"> BDS</w:t>
      </w:r>
      <w:r w:rsidR="00ED761F">
        <w:rPr>
          <w:rFonts w:asciiTheme="majorBidi" w:eastAsia="Times New Roman" w:hAnsiTheme="majorBidi" w:cstheme="majorBidi"/>
          <w:b/>
          <w:bCs/>
          <w:snapToGrid w:val="0"/>
          <w:sz w:val="24"/>
          <w:szCs w:val="24"/>
          <w:lang w:bidi="ar-EG"/>
        </w:rPr>
        <w:t>, MSc</w:t>
      </w:r>
      <w:r w:rsidRPr="008E2F73">
        <w:rPr>
          <w:rFonts w:asciiTheme="majorBidi" w:eastAsia="Times New Roman" w:hAnsiTheme="majorBidi" w:cstheme="majorBidi"/>
          <w:b/>
          <w:bCs/>
          <w:snapToGrid w:val="0"/>
          <w:sz w:val="24"/>
          <w:szCs w:val="24"/>
          <w:lang w:bidi="ar-EG"/>
        </w:rPr>
        <w:t>.</w:t>
      </w:r>
      <w:r>
        <w:rPr>
          <w:rFonts w:asciiTheme="majorBidi" w:eastAsia="Times New Roman" w:hAnsiTheme="majorBidi" w:cstheme="majorBidi"/>
          <w:b/>
          <w:bCs/>
          <w:snapToGrid w:val="0"/>
          <w:sz w:val="24"/>
          <w:szCs w:val="24"/>
          <w:lang w:bidi="ar-EG"/>
        </w:rPr>
        <w:t xml:space="preserve"> </w:t>
      </w:r>
      <w:r w:rsidRPr="008E2F73">
        <w:rPr>
          <w:rFonts w:asciiTheme="majorBidi" w:eastAsia="Times New Roman" w:hAnsiTheme="majorBidi" w:cstheme="majorBidi"/>
          <w:b/>
          <w:bCs/>
          <w:snapToGrid w:val="0"/>
          <w:sz w:val="24"/>
          <w:szCs w:val="24"/>
          <w:lang w:bidi="ar-EG"/>
        </w:rPr>
        <w:t xml:space="preserve">Hanno A </w:t>
      </w:r>
      <w:r w:rsidRPr="008E2F73">
        <w:rPr>
          <w:rFonts w:asciiTheme="majorBidi" w:eastAsia="Times New Roman" w:hAnsiTheme="majorBidi" w:cstheme="majorBidi"/>
          <w:b/>
          <w:bCs/>
          <w:snapToGrid w:val="0"/>
          <w:sz w:val="24"/>
          <w:szCs w:val="24"/>
          <w:vertAlign w:val="superscript"/>
          <w:lang w:bidi="ar-EG"/>
        </w:rPr>
        <w:t>2</w:t>
      </w:r>
      <w:r w:rsidRPr="008E2F73">
        <w:rPr>
          <w:rFonts w:asciiTheme="majorBidi" w:eastAsia="Times New Roman" w:hAnsiTheme="majorBidi" w:cstheme="majorBidi"/>
          <w:b/>
          <w:bCs/>
          <w:snapToGrid w:val="0"/>
          <w:sz w:val="24"/>
          <w:szCs w:val="24"/>
          <w:lang w:bidi="ar-EG"/>
        </w:rPr>
        <w:t xml:space="preserve"> BDS, MSc, PhD. Bakry N S </w:t>
      </w:r>
      <w:r w:rsidRPr="008E2F73">
        <w:rPr>
          <w:rFonts w:asciiTheme="majorBidi" w:eastAsia="Times New Roman" w:hAnsiTheme="majorBidi" w:cstheme="majorBidi"/>
          <w:b/>
          <w:bCs/>
          <w:snapToGrid w:val="0"/>
          <w:sz w:val="24"/>
          <w:szCs w:val="24"/>
          <w:vertAlign w:val="superscript"/>
          <w:lang w:bidi="ar-EG"/>
        </w:rPr>
        <w:t>3</w:t>
      </w:r>
      <w:r w:rsidRPr="008E2F73">
        <w:rPr>
          <w:rFonts w:asciiTheme="majorBidi" w:eastAsia="Times New Roman" w:hAnsiTheme="majorBidi" w:cstheme="majorBidi"/>
          <w:b/>
          <w:bCs/>
          <w:snapToGrid w:val="0"/>
          <w:sz w:val="24"/>
          <w:szCs w:val="24"/>
          <w:lang w:bidi="ar-EG"/>
        </w:rPr>
        <w:t xml:space="preserve"> BDS, MSc, PhD. Medra A </w:t>
      </w:r>
      <w:r w:rsidRPr="008E2F73">
        <w:rPr>
          <w:rFonts w:asciiTheme="majorBidi" w:eastAsia="Times New Roman" w:hAnsiTheme="majorBidi" w:cstheme="majorBidi"/>
          <w:b/>
          <w:bCs/>
          <w:snapToGrid w:val="0"/>
          <w:sz w:val="24"/>
          <w:szCs w:val="24"/>
          <w:vertAlign w:val="superscript"/>
          <w:lang w:bidi="ar-EG"/>
        </w:rPr>
        <w:t xml:space="preserve">4 </w:t>
      </w:r>
      <w:r w:rsidRPr="008E2F73">
        <w:rPr>
          <w:rFonts w:asciiTheme="majorBidi" w:eastAsia="Times New Roman" w:hAnsiTheme="majorBidi" w:cstheme="majorBidi"/>
          <w:b/>
          <w:bCs/>
          <w:snapToGrid w:val="0"/>
          <w:sz w:val="24"/>
          <w:szCs w:val="24"/>
          <w:lang w:bidi="ar-EG"/>
        </w:rPr>
        <w:t xml:space="preserve">BDS,MSc, PhD. Moussa H </w:t>
      </w:r>
      <w:r w:rsidRPr="008E2F73">
        <w:rPr>
          <w:rFonts w:asciiTheme="majorBidi" w:eastAsia="Times New Roman" w:hAnsiTheme="majorBidi" w:cstheme="majorBidi"/>
          <w:b/>
          <w:bCs/>
          <w:snapToGrid w:val="0"/>
          <w:sz w:val="24"/>
          <w:szCs w:val="24"/>
          <w:vertAlign w:val="superscript"/>
          <w:lang w:bidi="ar-EG"/>
        </w:rPr>
        <w:t>5</w:t>
      </w:r>
      <w:r w:rsidRPr="008E2F73">
        <w:rPr>
          <w:rFonts w:asciiTheme="majorBidi" w:eastAsia="Times New Roman" w:hAnsiTheme="majorBidi" w:cstheme="majorBidi"/>
          <w:b/>
          <w:bCs/>
          <w:snapToGrid w:val="0"/>
          <w:sz w:val="24"/>
          <w:szCs w:val="24"/>
          <w:lang w:bidi="ar-EG"/>
        </w:rPr>
        <w:t xml:space="preserve"> BDS, MSc, PhD</w:t>
      </w:r>
    </w:p>
    <w:p w:rsidR="008E2F73" w:rsidRPr="00C65784" w:rsidRDefault="008E2F73" w:rsidP="00ED761F">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 xml:space="preserve">1 </w:t>
      </w:r>
      <w:r w:rsidR="00ED761F">
        <w:rPr>
          <w:rFonts w:asciiTheme="majorBidi" w:eastAsia="Times New Roman" w:hAnsiTheme="majorBidi" w:cstheme="majorBidi"/>
          <w:snapToGrid w:val="0"/>
          <w:sz w:val="24"/>
          <w:szCs w:val="24"/>
          <w:lang w:bidi="ar-EG"/>
        </w:rPr>
        <w:t xml:space="preserve">Assistant lecturer </w:t>
      </w:r>
      <w:r w:rsidRPr="00C65784">
        <w:rPr>
          <w:rFonts w:asciiTheme="majorBidi" w:eastAsia="Times New Roman" w:hAnsiTheme="majorBidi" w:cstheme="majorBidi"/>
          <w:snapToGrid w:val="0"/>
          <w:sz w:val="24"/>
          <w:szCs w:val="24"/>
          <w:lang w:bidi="ar-EG"/>
        </w:rPr>
        <w:t>at the pediatric Dentistry Department, Faculty of Dentistry ,Alexandria</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University, Alexandria, Egypt.</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2 Professor of pediatric dentistry, Faculty of Dentistry, Alexandria University, Alexandria,</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Egypt.</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3 Professor of pediatric dentistry, Faculty of Dentistry, Alexandria University, Alexandria,</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Egypt.</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4 Professor of maxilla-facial and plastic surgery, Faculty of Dentistry, Alexandria</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University, Alexandria, Egypt.</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5 Lecturer of orthodontics, Faculty of Dentistry, Alexandria University, Alexandria,</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Egypt.</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Marwa Mohamed Baraka</w:t>
      </w:r>
    </w:p>
    <w:p w:rsidR="008E2F73" w:rsidRPr="00C65784" w:rsidRDefault="004910A0" w:rsidP="008E2F73">
      <w:pPr>
        <w:spacing w:before="0" w:after="0" w:line="240" w:lineRule="auto"/>
        <w:jc w:val="both"/>
        <w:rPr>
          <w:rFonts w:asciiTheme="majorBidi" w:eastAsia="Times New Roman" w:hAnsiTheme="majorBidi" w:cstheme="majorBidi"/>
          <w:snapToGrid w:val="0"/>
          <w:sz w:val="24"/>
          <w:szCs w:val="24"/>
          <w:lang w:bidi="ar-EG"/>
        </w:rPr>
      </w:pPr>
      <w:r>
        <w:rPr>
          <w:rFonts w:asciiTheme="majorBidi" w:eastAsia="Times New Roman" w:hAnsiTheme="majorBidi" w:cstheme="majorBidi"/>
          <w:snapToGrid w:val="0"/>
          <w:sz w:val="24"/>
          <w:szCs w:val="24"/>
          <w:lang w:bidi="ar-EG"/>
        </w:rPr>
        <w:t>Assistant l</w:t>
      </w:r>
      <w:r w:rsidR="008937DF">
        <w:rPr>
          <w:rFonts w:asciiTheme="majorBidi" w:eastAsia="Times New Roman" w:hAnsiTheme="majorBidi" w:cstheme="majorBidi"/>
          <w:snapToGrid w:val="0"/>
          <w:sz w:val="24"/>
          <w:szCs w:val="24"/>
          <w:lang w:bidi="ar-EG"/>
        </w:rPr>
        <w:t xml:space="preserve">ecturer </w:t>
      </w:r>
      <w:r>
        <w:rPr>
          <w:rFonts w:asciiTheme="majorBidi" w:eastAsia="Times New Roman" w:hAnsiTheme="majorBidi" w:cstheme="majorBidi"/>
          <w:snapToGrid w:val="0"/>
          <w:sz w:val="24"/>
          <w:szCs w:val="24"/>
          <w:lang w:bidi="ar-EG"/>
        </w:rPr>
        <w:t>at the P</w:t>
      </w:r>
      <w:r w:rsidR="008E2F73" w:rsidRPr="00C65784">
        <w:rPr>
          <w:rFonts w:asciiTheme="majorBidi" w:eastAsia="Times New Roman" w:hAnsiTheme="majorBidi" w:cstheme="majorBidi"/>
          <w:snapToGrid w:val="0"/>
          <w:sz w:val="24"/>
          <w:szCs w:val="24"/>
          <w:lang w:bidi="ar-EG"/>
        </w:rPr>
        <w:t>ediatric Dentistry</w:t>
      </w:r>
      <w:r>
        <w:rPr>
          <w:rFonts w:asciiTheme="majorBidi" w:eastAsia="Times New Roman" w:hAnsiTheme="majorBidi" w:cstheme="majorBidi"/>
          <w:snapToGrid w:val="0"/>
          <w:sz w:val="24"/>
          <w:szCs w:val="24"/>
          <w:lang w:bidi="ar-EG"/>
        </w:rPr>
        <w:t xml:space="preserve"> and Dental Public Health </w:t>
      </w:r>
      <w:r w:rsidR="008E2F73" w:rsidRPr="00C65784">
        <w:rPr>
          <w:rFonts w:asciiTheme="majorBidi" w:eastAsia="Times New Roman" w:hAnsiTheme="majorBidi" w:cstheme="majorBidi"/>
          <w:snapToGrid w:val="0"/>
          <w:sz w:val="24"/>
          <w:szCs w:val="24"/>
          <w:lang w:bidi="ar-EG"/>
        </w:rPr>
        <w:t>Department.</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Faculty of Dentistry.</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Alexandria University.</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Alexandria, Egypt.</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Email: marwa.baraka87@gmail.com</w:t>
      </w:r>
    </w:p>
    <w:p w:rsidR="008E2F73" w:rsidRPr="00C65784" w:rsidRDefault="008E2F73" w:rsidP="008E2F73">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Phone: (+2)-03- 5456231</w:t>
      </w:r>
    </w:p>
    <w:p w:rsidR="008E2F73" w:rsidRDefault="008E2F73" w:rsidP="00C65784">
      <w:pPr>
        <w:spacing w:before="0" w:after="0" w:line="240" w:lineRule="auto"/>
        <w:jc w:val="both"/>
        <w:rPr>
          <w:rFonts w:asciiTheme="majorBidi" w:eastAsia="Times New Roman" w:hAnsiTheme="majorBidi" w:cstheme="majorBidi"/>
          <w:snapToGrid w:val="0"/>
          <w:sz w:val="24"/>
          <w:szCs w:val="24"/>
          <w:lang w:bidi="ar-EG"/>
        </w:rPr>
      </w:pPr>
      <w:r w:rsidRPr="00C65784">
        <w:rPr>
          <w:rFonts w:asciiTheme="majorBidi" w:eastAsia="Times New Roman" w:hAnsiTheme="majorBidi" w:cstheme="majorBidi"/>
          <w:snapToGrid w:val="0"/>
          <w:sz w:val="24"/>
          <w:szCs w:val="24"/>
          <w:lang w:bidi="ar-EG"/>
        </w:rPr>
        <w:t>Mobile: (+2)-010</w:t>
      </w:r>
      <w:r w:rsidR="00C65784">
        <w:rPr>
          <w:rFonts w:asciiTheme="majorBidi" w:eastAsia="Times New Roman" w:hAnsiTheme="majorBidi" w:cstheme="majorBidi"/>
          <w:snapToGrid w:val="0"/>
          <w:sz w:val="24"/>
          <w:szCs w:val="24"/>
          <w:lang w:bidi="ar-EG"/>
        </w:rPr>
        <w:t>00804757</w:t>
      </w:r>
    </w:p>
    <w:p w:rsidR="00C77134" w:rsidRPr="007E0AA9" w:rsidRDefault="00C77134" w:rsidP="00C65784">
      <w:pPr>
        <w:spacing w:before="0" w:after="0" w:line="240" w:lineRule="auto"/>
        <w:jc w:val="both"/>
        <w:rPr>
          <w:rFonts w:asciiTheme="majorBidi" w:eastAsia="Times New Roman" w:hAnsiTheme="majorBidi" w:cstheme="majorBidi"/>
          <w:snapToGrid w:val="0"/>
          <w:sz w:val="24"/>
          <w:szCs w:val="24"/>
          <w:lang w:bidi="ar-EG"/>
        </w:rPr>
      </w:pPr>
      <w:r>
        <w:rPr>
          <w:lang w:val="en-NZ"/>
        </w:rPr>
        <w:t>Category: Poster presentation</w:t>
      </w:r>
    </w:p>
    <w:p w:rsidR="00C47C83" w:rsidRDefault="00081A57" w:rsidP="00BA6C56">
      <w:pPr>
        <w:spacing w:before="200" w:after="0" w:line="480" w:lineRule="auto"/>
        <w:jc w:val="both"/>
        <w:rPr>
          <w:rFonts w:cs="Times New Roman"/>
          <w:sz w:val="24"/>
          <w:szCs w:val="24"/>
          <w:lang w:bidi="ar-EG"/>
        </w:rPr>
      </w:pPr>
      <w:r>
        <w:rPr>
          <w:rFonts w:asciiTheme="majorBidi" w:eastAsia="Times New Roman" w:hAnsiTheme="majorBidi" w:cstheme="majorBidi"/>
          <w:b/>
          <w:bCs/>
          <w:snapToGrid w:val="0"/>
          <w:sz w:val="24"/>
          <w:szCs w:val="24"/>
          <w:lang w:bidi="ar-EG"/>
        </w:rPr>
        <w:lastRenderedPageBreak/>
        <w:t>Objective</w:t>
      </w:r>
      <w:r w:rsidR="00D169A4">
        <w:rPr>
          <w:rFonts w:asciiTheme="majorBidi" w:eastAsia="Times New Roman" w:hAnsiTheme="majorBidi" w:cstheme="majorBidi"/>
          <w:b/>
          <w:bCs/>
          <w:snapToGrid w:val="0"/>
          <w:sz w:val="24"/>
          <w:szCs w:val="24"/>
          <w:lang w:bidi="ar-EG"/>
        </w:rPr>
        <w:t>:</w:t>
      </w:r>
      <w:r>
        <w:rPr>
          <w:rFonts w:asciiTheme="majorBidi" w:eastAsia="Times New Roman" w:hAnsiTheme="majorBidi" w:cstheme="majorBidi"/>
          <w:b/>
          <w:bCs/>
          <w:snapToGrid w:val="0"/>
          <w:sz w:val="24"/>
          <w:szCs w:val="24"/>
          <w:lang w:bidi="ar-EG"/>
        </w:rPr>
        <w:t xml:space="preserve"> </w:t>
      </w:r>
      <w:r w:rsidR="00D169A4" w:rsidRPr="00CF06FA">
        <w:rPr>
          <w:rFonts w:cs="Times New Roman"/>
          <w:sz w:val="24"/>
          <w:szCs w:val="24"/>
        </w:rPr>
        <w:t xml:space="preserve">The purpose </w:t>
      </w:r>
      <w:r w:rsidR="00D169A4">
        <w:rPr>
          <w:rFonts w:cs="Times New Roman"/>
          <w:sz w:val="24"/>
          <w:szCs w:val="24"/>
        </w:rPr>
        <w:t>of this study was to</w:t>
      </w:r>
      <w:r w:rsidR="005F0A29">
        <w:rPr>
          <w:rFonts w:cs="Times New Roman"/>
          <w:sz w:val="24"/>
          <w:szCs w:val="24"/>
        </w:rPr>
        <w:t xml:space="preserve"> assess </w:t>
      </w:r>
      <w:r w:rsidR="00D169A4">
        <w:rPr>
          <w:rFonts w:cs="Times New Roman"/>
          <w:sz w:val="24"/>
          <w:szCs w:val="24"/>
        </w:rPr>
        <w:t xml:space="preserve">and compare the </w:t>
      </w:r>
      <w:r w:rsidR="000F6976">
        <w:rPr>
          <w:rFonts w:cs="Times New Roman"/>
          <w:sz w:val="24"/>
          <w:szCs w:val="24"/>
        </w:rPr>
        <w:t>transverse dental a</w:t>
      </w:r>
      <w:r w:rsidR="005F0A29" w:rsidRPr="005F0A29">
        <w:rPr>
          <w:rFonts w:cs="Times New Roman"/>
          <w:sz w:val="24"/>
          <w:szCs w:val="24"/>
        </w:rPr>
        <w:t>rch relationship and occlusion</w:t>
      </w:r>
      <w:r w:rsidR="00D169A4">
        <w:rPr>
          <w:rFonts w:cs="Times New Roman"/>
          <w:sz w:val="24"/>
          <w:szCs w:val="24"/>
        </w:rPr>
        <w:t xml:space="preserve"> in surgically repaired unilateral cleft lip and palate children</w:t>
      </w:r>
      <w:r>
        <w:rPr>
          <w:rFonts w:cs="Times New Roman"/>
          <w:sz w:val="24"/>
          <w:szCs w:val="24"/>
        </w:rPr>
        <w:t xml:space="preserve"> by Oslo protocol</w:t>
      </w:r>
      <w:r w:rsidR="00D169A4">
        <w:rPr>
          <w:rFonts w:cs="Times New Roman"/>
          <w:sz w:val="24"/>
          <w:szCs w:val="24"/>
        </w:rPr>
        <w:t xml:space="preserve"> with those of healthy </w:t>
      </w:r>
      <w:r w:rsidR="00BA6C56">
        <w:rPr>
          <w:rFonts w:cs="Times New Roman"/>
          <w:sz w:val="24"/>
          <w:szCs w:val="24"/>
        </w:rPr>
        <w:t>comparable</w:t>
      </w:r>
      <w:r w:rsidR="00D169A4">
        <w:rPr>
          <w:rFonts w:cs="Times New Roman"/>
          <w:sz w:val="24"/>
          <w:szCs w:val="24"/>
        </w:rPr>
        <w:t xml:space="preserve"> non-cleft children</w:t>
      </w:r>
      <w:r w:rsidR="004B057A">
        <w:rPr>
          <w:rFonts w:cs="Times New Roman"/>
          <w:sz w:val="24"/>
          <w:szCs w:val="24"/>
        </w:rPr>
        <w:t xml:space="preserve"> in Egypt</w:t>
      </w:r>
      <w:r w:rsidR="00D169A4">
        <w:rPr>
          <w:rFonts w:cs="Times New Roman"/>
          <w:sz w:val="24"/>
          <w:szCs w:val="24"/>
        </w:rPr>
        <w:t>.</w:t>
      </w:r>
      <w:r w:rsidR="00FD7669">
        <w:rPr>
          <w:rFonts w:eastAsia="Times New Roman" w:cs="Times New Roman"/>
          <w:b/>
          <w:bCs/>
          <w:sz w:val="24"/>
          <w:szCs w:val="24"/>
        </w:rPr>
        <w:t xml:space="preserve"> </w:t>
      </w:r>
      <w:r>
        <w:rPr>
          <w:rFonts w:eastAsia="Times New Roman" w:cs="Times New Roman"/>
          <w:b/>
          <w:bCs/>
          <w:sz w:val="24"/>
          <w:szCs w:val="24"/>
        </w:rPr>
        <w:t xml:space="preserve">Study design: </w:t>
      </w:r>
      <w:r>
        <w:rPr>
          <w:rFonts w:cs="Times New Roman"/>
          <w:sz w:val="24"/>
          <w:szCs w:val="24"/>
        </w:rPr>
        <w:t>Comparative cross-</w:t>
      </w:r>
      <w:r w:rsidRPr="00081A57">
        <w:rPr>
          <w:rFonts w:cs="Times New Roman"/>
          <w:sz w:val="24"/>
          <w:szCs w:val="24"/>
        </w:rPr>
        <w:t>sectional study design</w:t>
      </w:r>
      <w:r w:rsidR="00C47C83">
        <w:rPr>
          <w:rFonts w:cs="Times New Roman"/>
          <w:sz w:val="24"/>
          <w:szCs w:val="24"/>
        </w:rPr>
        <w:t xml:space="preserve"> was used</w:t>
      </w:r>
      <w:r w:rsidRPr="00081A57">
        <w:rPr>
          <w:rFonts w:cs="Times New Roman"/>
          <w:sz w:val="24"/>
          <w:szCs w:val="24"/>
        </w:rPr>
        <w:t>.</w:t>
      </w:r>
      <w:r w:rsidR="00C47C83">
        <w:rPr>
          <w:rFonts w:eastAsia="Times New Roman" w:cs="Times New Roman"/>
          <w:b/>
          <w:bCs/>
          <w:sz w:val="24"/>
          <w:szCs w:val="24"/>
        </w:rPr>
        <w:t xml:space="preserve"> </w:t>
      </w:r>
      <w:r w:rsidR="00BF26CF">
        <w:rPr>
          <w:rFonts w:cs="Times New Roman"/>
          <w:sz w:val="24"/>
          <w:szCs w:val="24"/>
        </w:rPr>
        <w:t>Thirty-one</w:t>
      </w:r>
      <w:r w:rsidR="00D169A4" w:rsidRPr="00332A9F">
        <w:rPr>
          <w:rFonts w:cs="Times New Roman"/>
          <w:sz w:val="24"/>
          <w:szCs w:val="24"/>
        </w:rPr>
        <w:t xml:space="preserve"> non-syndromic children with repaired unilateral</w:t>
      </w:r>
      <w:r w:rsidR="00D169A4">
        <w:rPr>
          <w:rFonts w:cs="Times New Roman"/>
          <w:sz w:val="24"/>
          <w:szCs w:val="24"/>
        </w:rPr>
        <w:t xml:space="preserve"> cleft lip and palate</w:t>
      </w:r>
      <w:r>
        <w:rPr>
          <w:rFonts w:cs="Times New Roman"/>
          <w:sz w:val="24"/>
          <w:szCs w:val="24"/>
        </w:rPr>
        <w:t xml:space="preserve"> (UCLP</w:t>
      </w:r>
      <w:r w:rsidR="00BA6C56">
        <w:rPr>
          <w:rFonts w:cs="Times New Roman"/>
          <w:sz w:val="24"/>
          <w:szCs w:val="24"/>
        </w:rPr>
        <w:t xml:space="preserve">) and </w:t>
      </w:r>
      <w:r w:rsidR="00BA6C56">
        <w:rPr>
          <w:rFonts w:asciiTheme="majorBidi" w:hAnsiTheme="majorBidi" w:cstheme="majorBidi"/>
          <w:szCs w:val="28"/>
        </w:rPr>
        <w:t>mean age 7.35 ± 1.52 years</w:t>
      </w:r>
      <w:r w:rsidR="00BA6C56">
        <w:rPr>
          <w:rFonts w:cs="Times New Roman"/>
          <w:sz w:val="24"/>
          <w:szCs w:val="24"/>
        </w:rPr>
        <w:t xml:space="preserve"> </w:t>
      </w:r>
      <w:r w:rsidR="00FD7669">
        <w:rPr>
          <w:rFonts w:cs="Times New Roman"/>
          <w:sz w:val="24"/>
          <w:szCs w:val="24"/>
        </w:rPr>
        <w:t>together with thirty-one h</w:t>
      </w:r>
      <w:r w:rsidR="00FD7669" w:rsidRPr="00332A9F">
        <w:rPr>
          <w:rFonts w:cs="Times New Roman"/>
          <w:sz w:val="24"/>
          <w:szCs w:val="24"/>
        </w:rPr>
        <w:t>ealthy</w:t>
      </w:r>
      <w:r w:rsidR="00FD7669">
        <w:rPr>
          <w:rFonts w:cs="Times New Roman"/>
          <w:sz w:val="24"/>
          <w:szCs w:val="24"/>
        </w:rPr>
        <w:t>,</w:t>
      </w:r>
      <w:r w:rsidR="00FD7669" w:rsidRPr="00332A9F">
        <w:rPr>
          <w:rFonts w:cs="Times New Roman"/>
          <w:sz w:val="24"/>
          <w:szCs w:val="24"/>
        </w:rPr>
        <w:t xml:space="preserve"> </w:t>
      </w:r>
      <w:r w:rsidR="00BA6C56">
        <w:rPr>
          <w:rFonts w:cs="Times New Roman"/>
          <w:sz w:val="24"/>
          <w:szCs w:val="24"/>
        </w:rPr>
        <w:t>comparable</w:t>
      </w:r>
      <w:r w:rsidR="00FD7669">
        <w:rPr>
          <w:rFonts w:cs="Times New Roman"/>
          <w:sz w:val="24"/>
          <w:szCs w:val="24"/>
        </w:rPr>
        <w:t>,</w:t>
      </w:r>
      <w:r w:rsidR="00FD7669" w:rsidRPr="00332A9F">
        <w:rPr>
          <w:rFonts w:cs="Times New Roman"/>
          <w:sz w:val="24"/>
          <w:szCs w:val="24"/>
        </w:rPr>
        <w:t xml:space="preserve"> non-cleft children</w:t>
      </w:r>
      <w:r w:rsidR="00D169A4" w:rsidRPr="00332A9F">
        <w:rPr>
          <w:rFonts w:cs="Times New Roman"/>
          <w:sz w:val="24"/>
          <w:szCs w:val="24"/>
        </w:rPr>
        <w:t xml:space="preserve"> </w:t>
      </w:r>
      <w:r w:rsidR="00FD7669">
        <w:rPr>
          <w:rFonts w:cs="Times New Roman"/>
          <w:sz w:val="24"/>
          <w:szCs w:val="24"/>
        </w:rPr>
        <w:t xml:space="preserve">were </w:t>
      </w:r>
      <w:r w:rsidR="00FD7669" w:rsidRPr="00332A9F">
        <w:rPr>
          <w:rFonts w:cs="Times New Roman"/>
          <w:sz w:val="24"/>
          <w:szCs w:val="24"/>
        </w:rPr>
        <w:t>recruited</w:t>
      </w:r>
      <w:r w:rsidR="00FD7669">
        <w:rPr>
          <w:rFonts w:cs="Times New Roman"/>
          <w:sz w:val="24"/>
          <w:szCs w:val="24"/>
        </w:rPr>
        <w:t xml:space="preserve"> </w:t>
      </w:r>
      <w:r w:rsidR="00D169A4" w:rsidRPr="00332A9F">
        <w:rPr>
          <w:rFonts w:cs="Times New Roman"/>
          <w:sz w:val="24"/>
          <w:szCs w:val="24"/>
        </w:rPr>
        <w:t xml:space="preserve">from </w:t>
      </w:r>
      <w:r w:rsidR="00FD7669">
        <w:rPr>
          <w:rFonts w:cs="Times New Roman"/>
          <w:sz w:val="24"/>
          <w:szCs w:val="24"/>
        </w:rPr>
        <w:t xml:space="preserve">Faculty of dentistry, </w:t>
      </w:r>
      <w:r w:rsidR="00D169A4">
        <w:rPr>
          <w:rFonts w:cs="Times New Roman"/>
          <w:sz w:val="24"/>
          <w:szCs w:val="24"/>
        </w:rPr>
        <w:t xml:space="preserve">Alexandria University. </w:t>
      </w:r>
      <w:r w:rsidR="00D169A4">
        <w:rPr>
          <w:rFonts w:cs="Times New Roman"/>
          <w:sz w:val="24"/>
          <w:szCs w:val="24"/>
          <w:lang w:bidi="ar-EG"/>
        </w:rPr>
        <w:t xml:space="preserve">For each subject, </w:t>
      </w:r>
      <w:r w:rsidR="000F6976">
        <w:rPr>
          <w:rFonts w:cs="Times New Roman"/>
          <w:sz w:val="24"/>
          <w:szCs w:val="24"/>
          <w:lang w:bidi="ar-EG"/>
        </w:rPr>
        <w:t xml:space="preserve">sagittal molar and cuspid </w:t>
      </w:r>
      <w:r w:rsidR="000F6976" w:rsidRPr="005F0A29">
        <w:rPr>
          <w:rFonts w:cs="Times New Roman"/>
          <w:sz w:val="24"/>
          <w:szCs w:val="24"/>
        </w:rPr>
        <w:t>occlusion</w:t>
      </w:r>
      <w:r w:rsidR="000F6976">
        <w:rPr>
          <w:rFonts w:cs="Times New Roman"/>
          <w:sz w:val="24"/>
          <w:szCs w:val="24"/>
          <w:lang w:bidi="ar-EG"/>
        </w:rPr>
        <w:t xml:space="preserve"> was</w:t>
      </w:r>
      <w:r w:rsidR="00D169A4">
        <w:rPr>
          <w:rFonts w:cs="Times New Roman"/>
          <w:sz w:val="24"/>
          <w:szCs w:val="24"/>
          <w:lang w:bidi="ar-EG"/>
        </w:rPr>
        <w:t xml:space="preserve"> measured from the dental study casts</w:t>
      </w:r>
      <w:r w:rsidR="00BA6C56">
        <w:rPr>
          <w:rFonts w:cs="Times New Roman"/>
          <w:sz w:val="24"/>
          <w:szCs w:val="24"/>
          <w:lang w:bidi="ar-EG"/>
        </w:rPr>
        <w:t>. The</w:t>
      </w:r>
      <w:r w:rsidR="00D169A4">
        <w:rPr>
          <w:rFonts w:cs="Times New Roman"/>
          <w:sz w:val="24"/>
          <w:szCs w:val="24"/>
          <w:lang w:bidi="ar-EG"/>
        </w:rPr>
        <w:t xml:space="preserve"> </w:t>
      </w:r>
      <w:r w:rsidR="000F6976">
        <w:rPr>
          <w:rFonts w:cs="Times New Roman"/>
          <w:sz w:val="24"/>
          <w:szCs w:val="24"/>
          <w:lang w:bidi="ar-EG"/>
        </w:rPr>
        <w:t xml:space="preserve">buccolingual </w:t>
      </w:r>
      <w:r w:rsidR="00D169A4">
        <w:rPr>
          <w:rFonts w:cs="Times New Roman"/>
          <w:sz w:val="24"/>
          <w:szCs w:val="24"/>
          <w:lang w:bidi="ar-EG"/>
        </w:rPr>
        <w:t xml:space="preserve">dental arch relationships were </w:t>
      </w:r>
      <w:r w:rsidR="00C47C83">
        <w:rPr>
          <w:rFonts w:cs="Times New Roman"/>
          <w:sz w:val="24"/>
          <w:szCs w:val="24"/>
          <w:lang w:bidi="ar-EG"/>
        </w:rPr>
        <w:t xml:space="preserve">determined through the modified </w:t>
      </w:r>
      <w:r w:rsidR="00D169A4">
        <w:rPr>
          <w:rFonts w:cs="Times New Roman"/>
          <w:sz w:val="24"/>
          <w:szCs w:val="24"/>
          <w:lang w:bidi="ar-EG"/>
        </w:rPr>
        <w:t>Huddart</w:t>
      </w:r>
      <w:r w:rsidR="00C47C83">
        <w:rPr>
          <w:rFonts w:cs="Times New Roman"/>
          <w:sz w:val="24"/>
          <w:szCs w:val="24"/>
          <w:lang w:bidi="ar-EG"/>
        </w:rPr>
        <w:t>/</w:t>
      </w:r>
      <w:r>
        <w:rPr>
          <w:rFonts w:cs="Times New Roman"/>
          <w:sz w:val="24"/>
          <w:szCs w:val="24"/>
          <w:lang w:bidi="ar-EG"/>
        </w:rPr>
        <w:t xml:space="preserve"> Bodenham</w:t>
      </w:r>
      <w:r w:rsidR="00D169A4">
        <w:rPr>
          <w:rFonts w:cs="Times New Roman"/>
          <w:sz w:val="24"/>
          <w:szCs w:val="24"/>
          <w:lang w:bidi="ar-EG"/>
        </w:rPr>
        <w:t xml:space="preserve"> scoring system.</w:t>
      </w:r>
      <w:r w:rsidR="00FD7669">
        <w:rPr>
          <w:rFonts w:cs="Times New Roman"/>
          <w:sz w:val="24"/>
          <w:szCs w:val="24"/>
          <w:lang w:bidi="ar-EG"/>
        </w:rPr>
        <w:t xml:space="preserve"> </w:t>
      </w:r>
      <w:r w:rsidR="00D169A4" w:rsidRPr="00CF06FA">
        <w:rPr>
          <w:rFonts w:cs="Times New Roman"/>
          <w:b/>
          <w:bCs/>
          <w:sz w:val="24"/>
          <w:szCs w:val="24"/>
          <w:lang w:bidi="ar-EG"/>
        </w:rPr>
        <w:t>Results</w:t>
      </w:r>
      <w:r>
        <w:rPr>
          <w:rFonts w:cs="Times New Roman"/>
          <w:sz w:val="24"/>
          <w:szCs w:val="24"/>
          <w:lang w:bidi="ar-EG"/>
        </w:rPr>
        <w:t>:</w:t>
      </w:r>
      <w:r w:rsidR="006906F1">
        <w:rPr>
          <w:rFonts w:cs="Times New Roman"/>
          <w:sz w:val="24"/>
          <w:szCs w:val="24"/>
          <w:lang w:bidi="ar-EG"/>
        </w:rPr>
        <w:t xml:space="preserve"> Mesial step terminal plane and class III cuspid relation were significantly higher in UCLP children in the age group 4 to &lt;6 years. Class III permanent molar and cuspid relations were significantly higher in UCLP children in both age groups 6 to &lt;8 and 8 to &lt;10 years.  </w:t>
      </w:r>
      <w:r>
        <w:rPr>
          <w:rFonts w:cs="Times New Roman"/>
          <w:sz w:val="24"/>
          <w:szCs w:val="24"/>
          <w:lang w:bidi="ar-EG"/>
        </w:rPr>
        <w:t xml:space="preserve"> </w:t>
      </w:r>
      <w:r w:rsidR="00C47C83">
        <w:rPr>
          <w:rFonts w:cs="Times New Roman"/>
          <w:sz w:val="24"/>
          <w:szCs w:val="24"/>
          <w:lang w:bidi="ar-EG"/>
        </w:rPr>
        <w:t xml:space="preserve">Modified Huddart/Bodenham showed a significantly more negative total arch constriction score in 6-9 year old UCLP children than </w:t>
      </w:r>
      <w:r w:rsidR="00FD7669">
        <w:rPr>
          <w:rFonts w:cs="Times New Roman"/>
          <w:sz w:val="24"/>
          <w:szCs w:val="24"/>
          <w:lang w:bidi="ar-EG"/>
        </w:rPr>
        <w:t xml:space="preserve">in </w:t>
      </w:r>
      <w:r w:rsidR="00C47C83">
        <w:rPr>
          <w:rFonts w:cs="Times New Roman"/>
          <w:sz w:val="24"/>
          <w:szCs w:val="24"/>
          <w:lang w:bidi="ar-EG"/>
        </w:rPr>
        <w:t>non-cleft children.</w:t>
      </w:r>
      <w:r w:rsidR="00FD7669">
        <w:rPr>
          <w:rFonts w:cs="Times New Roman"/>
          <w:sz w:val="24"/>
          <w:szCs w:val="24"/>
          <w:lang w:bidi="ar-EG"/>
        </w:rPr>
        <w:t xml:space="preserve"> </w:t>
      </w:r>
      <w:r w:rsidR="00C47C83" w:rsidRPr="001E5E19">
        <w:rPr>
          <w:rFonts w:cs="Times New Roman"/>
          <w:b/>
          <w:bCs/>
          <w:sz w:val="24"/>
          <w:szCs w:val="24"/>
          <w:lang w:bidi="ar-EG"/>
        </w:rPr>
        <w:t xml:space="preserve">Conclusions: </w:t>
      </w:r>
      <w:r w:rsidR="000F6976">
        <w:rPr>
          <w:rFonts w:cs="Times New Roman"/>
          <w:sz w:val="24"/>
          <w:szCs w:val="24"/>
          <w:lang w:bidi="ar-EG"/>
        </w:rPr>
        <w:t xml:space="preserve">There was a predilection for most of UCLP children in all age groups to have mesial step terminal plane in primary dentition, class III permanent molar relation in mixed dentition and Class III cuspid relations. </w:t>
      </w:r>
      <w:r w:rsidR="00C47C83" w:rsidRPr="001E5E19">
        <w:rPr>
          <w:rFonts w:cs="Times New Roman"/>
          <w:sz w:val="24"/>
          <w:szCs w:val="24"/>
          <w:lang w:bidi="ar-EG"/>
        </w:rPr>
        <w:t>Modified Huddart/Bodenham scores revealed that UCLP children suffered from constricted maxillary arch in all age groups especially in the canine region.</w:t>
      </w:r>
    </w:p>
    <w:p w:rsidR="00D169A4" w:rsidRDefault="007865F0" w:rsidP="000F6976">
      <w:pPr>
        <w:spacing w:before="40" w:line="480" w:lineRule="auto"/>
        <w:jc w:val="mediumKashida"/>
        <w:rPr>
          <w:rFonts w:cs="Times New Roman"/>
          <w:sz w:val="24"/>
          <w:szCs w:val="24"/>
          <w:lang w:bidi="ar-EG"/>
        </w:rPr>
      </w:pPr>
      <w:r w:rsidRPr="007865F0">
        <w:rPr>
          <w:rFonts w:cs="Times New Roman"/>
          <w:b/>
          <w:bCs/>
          <w:sz w:val="24"/>
          <w:szCs w:val="24"/>
          <w:lang w:bidi="ar-EG"/>
        </w:rPr>
        <w:t xml:space="preserve">Keywords: </w:t>
      </w:r>
      <w:r>
        <w:rPr>
          <w:rFonts w:cs="Times New Roman"/>
          <w:sz w:val="24"/>
          <w:szCs w:val="24"/>
          <w:lang w:bidi="ar-EG"/>
        </w:rPr>
        <w:t>Unil</w:t>
      </w:r>
      <w:r w:rsidR="007A1A75">
        <w:rPr>
          <w:rFonts w:cs="Times New Roman"/>
          <w:sz w:val="24"/>
          <w:szCs w:val="24"/>
          <w:lang w:bidi="ar-EG"/>
        </w:rPr>
        <w:t>ateral cleft lip and palate/ Terminal plane relationship/ Sagittal molar o</w:t>
      </w:r>
      <w:r w:rsidR="000F6976">
        <w:rPr>
          <w:rFonts w:cs="Times New Roman"/>
          <w:sz w:val="24"/>
          <w:szCs w:val="24"/>
          <w:lang w:bidi="ar-EG"/>
        </w:rPr>
        <w:t>cclusion</w:t>
      </w:r>
      <w:r w:rsidR="007A1A75">
        <w:rPr>
          <w:rFonts w:cs="Times New Roman"/>
          <w:sz w:val="24"/>
          <w:szCs w:val="24"/>
          <w:lang w:bidi="ar-EG"/>
        </w:rPr>
        <w:t xml:space="preserve">/ Sagittal cuspid occlusion </w:t>
      </w:r>
      <w:r>
        <w:rPr>
          <w:rFonts w:cs="Times New Roman"/>
          <w:sz w:val="24"/>
          <w:szCs w:val="24"/>
          <w:lang w:bidi="ar-EG"/>
        </w:rPr>
        <w:t>/ Modified Huddart/Bodenham index</w:t>
      </w:r>
      <w:r w:rsidR="007A1A75">
        <w:rPr>
          <w:rFonts w:cs="Times New Roman"/>
          <w:sz w:val="24"/>
          <w:szCs w:val="24"/>
          <w:lang w:bidi="ar-EG"/>
        </w:rPr>
        <w:t xml:space="preserve">. </w:t>
      </w:r>
    </w:p>
    <w:p w:rsidR="00804E96" w:rsidRPr="001E5E19" w:rsidRDefault="00E64AE0" w:rsidP="000F6976">
      <w:pPr>
        <w:spacing w:before="40" w:line="240" w:lineRule="auto"/>
        <w:jc w:val="mediumKashida"/>
        <w:rPr>
          <w:rFonts w:cs="Times New Roman"/>
          <w:sz w:val="24"/>
          <w:szCs w:val="24"/>
          <w:lang w:bidi="ar-EG"/>
        </w:rPr>
      </w:pPr>
      <w:r w:rsidRPr="00E64AE0">
        <w:rPr>
          <w:rFonts w:cs="Times New Roman"/>
          <w:b/>
          <w:bCs/>
          <w:sz w:val="24"/>
          <w:szCs w:val="24"/>
          <w:lang w:bidi="ar-EG"/>
        </w:rPr>
        <w:t>Running title:</w:t>
      </w:r>
      <w:r>
        <w:rPr>
          <w:rFonts w:cs="Times New Roman"/>
          <w:sz w:val="24"/>
          <w:szCs w:val="24"/>
          <w:lang w:bidi="ar-EG"/>
        </w:rPr>
        <w:t xml:space="preserve"> </w:t>
      </w:r>
      <w:r w:rsidR="000F6976">
        <w:rPr>
          <w:rFonts w:cs="Times New Roman"/>
          <w:sz w:val="24"/>
          <w:szCs w:val="24"/>
        </w:rPr>
        <w:t>Transverse dental a</w:t>
      </w:r>
      <w:r w:rsidR="000F6976" w:rsidRPr="005F0A29">
        <w:rPr>
          <w:rFonts w:cs="Times New Roman"/>
          <w:sz w:val="24"/>
          <w:szCs w:val="24"/>
        </w:rPr>
        <w:t>rch relationship and occlusion</w:t>
      </w:r>
      <w:r w:rsidR="000F6976">
        <w:rPr>
          <w:rFonts w:cs="Times New Roman"/>
          <w:sz w:val="24"/>
          <w:szCs w:val="24"/>
          <w:lang w:bidi="ar-EG"/>
        </w:rPr>
        <w:t xml:space="preserve"> </w:t>
      </w:r>
      <w:r>
        <w:rPr>
          <w:rFonts w:cs="Times New Roman"/>
          <w:sz w:val="24"/>
          <w:szCs w:val="24"/>
          <w:lang w:bidi="ar-EG"/>
        </w:rPr>
        <w:t>in unilateral cleft lip and palate children</w:t>
      </w:r>
    </w:p>
    <w:p w:rsidR="00D169A4" w:rsidRPr="008B2D2D" w:rsidRDefault="00D169A4" w:rsidP="00AC59CE">
      <w:pPr>
        <w:autoSpaceDE w:val="0"/>
        <w:autoSpaceDN w:val="0"/>
        <w:adjustRightInd w:val="0"/>
        <w:spacing w:before="200" w:after="0" w:line="480" w:lineRule="auto"/>
        <w:ind w:firstLine="720"/>
        <w:jc w:val="both"/>
        <w:rPr>
          <w:sz w:val="24"/>
          <w:szCs w:val="20"/>
        </w:rPr>
      </w:pPr>
      <w:r w:rsidRPr="008B2D2D">
        <w:rPr>
          <w:sz w:val="24"/>
          <w:szCs w:val="20"/>
        </w:rPr>
        <w:lastRenderedPageBreak/>
        <w:t>Cleft lip and cleft palate are among the most common congenital defects in the cranio-facial region. They result from incomplete fusion of maxillary and intermaxillary processes during development of the fetus.</w:t>
      </w:r>
      <w:r w:rsidRPr="008B2D2D">
        <w:rPr>
          <w:sz w:val="24"/>
          <w:szCs w:val="20"/>
          <w:vertAlign w:val="superscript"/>
        </w:rPr>
        <w:t xml:space="preserve"> (1)</w:t>
      </w:r>
      <w:r w:rsidRPr="008B2D2D">
        <w:rPr>
          <w:sz w:val="24"/>
          <w:szCs w:val="20"/>
        </w:rPr>
        <w:t xml:space="preserve"> The etiology of these defects is considered multifactorial through interaction of both genetic and environmental factors. Thus, it can occur as an isolated condition, or as one component of an inherited disease or syndrome. </w:t>
      </w:r>
      <w:r w:rsidRPr="008B2D2D">
        <w:rPr>
          <w:sz w:val="24"/>
          <w:szCs w:val="20"/>
          <w:vertAlign w:val="superscript"/>
        </w:rPr>
        <w:t>(2-4)</w:t>
      </w:r>
    </w:p>
    <w:p w:rsidR="00D169A4" w:rsidRPr="008B2D2D" w:rsidRDefault="00D169A4" w:rsidP="00AC59CE">
      <w:pPr>
        <w:autoSpaceDE w:val="0"/>
        <w:autoSpaceDN w:val="0"/>
        <w:adjustRightInd w:val="0"/>
        <w:spacing w:before="200" w:after="0" w:line="480" w:lineRule="auto"/>
        <w:jc w:val="both"/>
        <w:rPr>
          <w:rFonts w:ascii="TimesNewRoman" w:eastAsiaTheme="minorHAnsi" w:hAnsi="TimesNewRoman" w:cs="TimesNewRoman"/>
          <w:sz w:val="20"/>
          <w:szCs w:val="20"/>
        </w:rPr>
      </w:pPr>
      <w:r w:rsidRPr="008B2D2D">
        <w:rPr>
          <w:sz w:val="24"/>
          <w:szCs w:val="20"/>
        </w:rPr>
        <w:t xml:space="preserve">         The prevalence of cleft lip and palate worldwide is about one per 500–700 of all births.</w:t>
      </w:r>
      <w:r w:rsidRPr="008B2D2D">
        <w:rPr>
          <w:sz w:val="24"/>
          <w:szCs w:val="20"/>
          <w:vertAlign w:val="superscript"/>
        </w:rPr>
        <w:t xml:space="preserve"> </w:t>
      </w:r>
      <w:r w:rsidRPr="008B2D2D">
        <w:rPr>
          <w:sz w:val="24"/>
          <w:szCs w:val="20"/>
        </w:rPr>
        <w:t xml:space="preserve">It differs with cleft type, gender and ethnic origin. </w:t>
      </w:r>
      <w:r w:rsidRPr="008B2D2D">
        <w:rPr>
          <w:sz w:val="24"/>
          <w:szCs w:val="20"/>
          <w:vertAlign w:val="superscript"/>
        </w:rPr>
        <w:t>(5)</w:t>
      </w:r>
      <w:r w:rsidRPr="008B2D2D">
        <w:rPr>
          <w:sz w:val="24"/>
          <w:szCs w:val="20"/>
        </w:rPr>
        <w:t xml:space="preserve"> Most studies give a ratio varying between unilateral and bilateral cleft lips to be predominantly favoring unilateral cleft lips. </w:t>
      </w:r>
      <w:r w:rsidR="00A03034">
        <w:rPr>
          <w:sz w:val="24"/>
          <w:szCs w:val="20"/>
          <w:vertAlign w:val="superscript"/>
        </w:rPr>
        <w:t>(6-9</w:t>
      </w:r>
      <w:r w:rsidRPr="008B2D2D">
        <w:rPr>
          <w:sz w:val="24"/>
          <w:szCs w:val="20"/>
          <w:vertAlign w:val="superscript"/>
        </w:rPr>
        <w:t xml:space="preserve">) </w:t>
      </w:r>
      <w:r w:rsidRPr="008B2D2D">
        <w:rPr>
          <w:sz w:val="24"/>
          <w:szCs w:val="20"/>
        </w:rPr>
        <w:t xml:space="preserve">Recent data on birth defects from population-based studies originating from Middle East are lacking. </w:t>
      </w:r>
      <w:r w:rsidR="00A03034">
        <w:rPr>
          <w:sz w:val="24"/>
          <w:szCs w:val="20"/>
          <w:vertAlign w:val="superscript"/>
        </w:rPr>
        <w:t>(10</w:t>
      </w:r>
      <w:r w:rsidRPr="008B2D2D">
        <w:rPr>
          <w:sz w:val="24"/>
          <w:szCs w:val="20"/>
          <w:vertAlign w:val="superscript"/>
        </w:rPr>
        <w:t>)</w:t>
      </w:r>
      <w:r w:rsidRPr="008B2D2D">
        <w:rPr>
          <w:sz w:val="24"/>
          <w:szCs w:val="20"/>
        </w:rPr>
        <w:t xml:space="preserve"> Meanwhile, few published articles give a rough idea about the incidence of </w:t>
      </w:r>
      <w:r w:rsidRPr="008B2D2D">
        <w:rPr>
          <w:rStyle w:val="searchterm2"/>
          <w:sz w:val="24"/>
          <w:szCs w:val="20"/>
        </w:rPr>
        <w:t>cleft</w:t>
      </w:r>
      <w:r w:rsidRPr="008B2D2D">
        <w:rPr>
          <w:sz w:val="24"/>
          <w:szCs w:val="20"/>
        </w:rPr>
        <w:t xml:space="preserve"> in the region. The overall incidence rate of cleft lip and palate per 1000 live births was 1.5 in Oman in 2001 </w:t>
      </w:r>
      <w:r w:rsidR="00A03034">
        <w:rPr>
          <w:sz w:val="24"/>
          <w:szCs w:val="20"/>
          <w:vertAlign w:val="superscript"/>
        </w:rPr>
        <w:t>(11</w:t>
      </w:r>
      <w:r w:rsidRPr="008B2D2D">
        <w:rPr>
          <w:sz w:val="24"/>
          <w:szCs w:val="20"/>
          <w:vertAlign w:val="superscript"/>
        </w:rPr>
        <w:t>)</w:t>
      </w:r>
      <w:r w:rsidRPr="008B2D2D">
        <w:rPr>
          <w:sz w:val="24"/>
          <w:szCs w:val="20"/>
        </w:rPr>
        <w:t xml:space="preserve"> and 0.9 in Sudan in 2005</w:t>
      </w:r>
      <w:r w:rsidR="00A03034">
        <w:rPr>
          <w:sz w:val="24"/>
          <w:szCs w:val="20"/>
          <w:vertAlign w:val="superscript"/>
        </w:rPr>
        <w:t>(12</w:t>
      </w:r>
      <w:r w:rsidRPr="008B2D2D">
        <w:rPr>
          <w:sz w:val="24"/>
          <w:szCs w:val="20"/>
          <w:vertAlign w:val="superscript"/>
        </w:rPr>
        <w:t>)</w:t>
      </w:r>
      <w:r w:rsidRPr="008B2D2D">
        <w:rPr>
          <w:sz w:val="24"/>
          <w:szCs w:val="20"/>
        </w:rPr>
        <w:t xml:space="preserve">. </w:t>
      </w:r>
    </w:p>
    <w:p w:rsidR="00822093" w:rsidRDefault="00D169A4" w:rsidP="00822093">
      <w:pPr>
        <w:autoSpaceDE w:val="0"/>
        <w:autoSpaceDN w:val="0"/>
        <w:adjustRightInd w:val="0"/>
        <w:spacing w:before="200" w:after="0" w:line="480" w:lineRule="auto"/>
        <w:jc w:val="both"/>
        <w:rPr>
          <w:sz w:val="20"/>
          <w:szCs w:val="16"/>
        </w:rPr>
      </w:pPr>
      <w:r w:rsidRPr="008B2D2D">
        <w:rPr>
          <w:sz w:val="24"/>
          <w:szCs w:val="20"/>
        </w:rPr>
        <w:t xml:space="preserve">          </w:t>
      </w:r>
      <w:r w:rsidR="00B41454" w:rsidRPr="00B41454">
        <w:rPr>
          <w:rFonts w:ascii="TimesNewRoman" w:eastAsiaTheme="minorHAnsi" w:hAnsi="TimesNewRoman" w:cs="TimesNewRoman"/>
          <w:sz w:val="24"/>
          <w:szCs w:val="24"/>
        </w:rPr>
        <w:t xml:space="preserve">According to Athanasiou et al 1987 </w:t>
      </w:r>
      <w:r w:rsidR="00A03034">
        <w:rPr>
          <w:rFonts w:ascii="TimesNewRoman" w:eastAsiaTheme="minorHAnsi" w:hAnsi="TimesNewRoman" w:cs="TimesNewRoman"/>
          <w:sz w:val="24"/>
          <w:szCs w:val="24"/>
          <w:vertAlign w:val="superscript"/>
        </w:rPr>
        <w:t>(13</w:t>
      </w:r>
      <w:r w:rsidR="00B41454" w:rsidRPr="00B41454">
        <w:rPr>
          <w:rFonts w:ascii="TimesNewRoman" w:eastAsiaTheme="minorHAnsi" w:hAnsi="TimesNewRoman" w:cs="TimesNewRoman"/>
          <w:sz w:val="24"/>
          <w:szCs w:val="24"/>
          <w:vertAlign w:val="superscript"/>
        </w:rPr>
        <w:t>)</w:t>
      </w:r>
      <w:r w:rsidR="00B41454" w:rsidRPr="00B41454">
        <w:rPr>
          <w:rFonts w:ascii="TimesNewRoman" w:eastAsiaTheme="minorHAnsi" w:hAnsi="TimesNewRoman" w:cs="TimesNewRoman"/>
          <w:sz w:val="24"/>
          <w:szCs w:val="24"/>
        </w:rPr>
        <w:t xml:space="preserve"> and many others</w:t>
      </w:r>
      <w:r w:rsidR="00A03034">
        <w:rPr>
          <w:rFonts w:ascii="TimesNewRoman" w:eastAsiaTheme="minorHAnsi" w:hAnsi="TimesNewRoman" w:cs="TimesNewRoman"/>
          <w:sz w:val="24"/>
          <w:szCs w:val="24"/>
          <w:vertAlign w:val="superscript"/>
        </w:rPr>
        <w:t xml:space="preserve"> (14-18</w:t>
      </w:r>
      <w:r w:rsidR="00B41454" w:rsidRPr="00B41454">
        <w:rPr>
          <w:rFonts w:ascii="TimesNewRoman" w:eastAsiaTheme="minorHAnsi" w:hAnsi="TimesNewRoman" w:cs="TimesNewRoman"/>
          <w:sz w:val="24"/>
          <w:szCs w:val="24"/>
          <w:vertAlign w:val="superscript"/>
        </w:rPr>
        <w:t>)</w:t>
      </w:r>
      <w:r w:rsidR="00B41454" w:rsidRPr="00B41454">
        <w:rPr>
          <w:rFonts w:ascii="TimesNewRoman" w:eastAsiaTheme="minorHAnsi" w:hAnsi="TimesNewRoman" w:cs="TimesNewRoman"/>
          <w:sz w:val="24"/>
          <w:szCs w:val="24"/>
        </w:rPr>
        <w:t>, maxillary arch dimensions are generally reduced in patients with clefts. In addition, the primary surgical repairs affect maxillary arch dimensions in children with clefts.</w:t>
      </w:r>
      <w:r w:rsidR="00822093">
        <w:rPr>
          <w:sz w:val="24"/>
          <w:szCs w:val="20"/>
          <w:vertAlign w:val="superscript"/>
        </w:rPr>
        <w:t xml:space="preserve"> </w:t>
      </w:r>
      <w:r w:rsidR="00822093" w:rsidRPr="00822093">
        <w:rPr>
          <w:rFonts w:ascii="TimesNewRoman" w:eastAsiaTheme="minorHAnsi" w:hAnsi="TimesNewRoman" w:cs="TimesNewRoman"/>
          <w:sz w:val="24"/>
          <w:szCs w:val="24"/>
        </w:rPr>
        <w:t xml:space="preserve">Athanasiou et al 1986 </w:t>
      </w:r>
      <w:r w:rsidR="00822093" w:rsidRPr="00822093">
        <w:rPr>
          <w:rFonts w:ascii="TimesNewRoman" w:eastAsiaTheme="minorHAnsi" w:hAnsi="TimesNewRoman" w:cs="TimesNewRoman"/>
          <w:sz w:val="24"/>
          <w:szCs w:val="24"/>
          <w:vertAlign w:val="superscript"/>
        </w:rPr>
        <w:t>(</w:t>
      </w:r>
      <w:r w:rsidR="00CC37DD">
        <w:rPr>
          <w:rFonts w:ascii="TimesNewRoman" w:eastAsiaTheme="minorHAnsi" w:hAnsi="TimesNewRoman" w:cs="TimesNewRoman"/>
          <w:sz w:val="24"/>
          <w:szCs w:val="24"/>
          <w:vertAlign w:val="superscript"/>
        </w:rPr>
        <w:t>19</w:t>
      </w:r>
      <w:r w:rsidR="00822093" w:rsidRPr="00822093">
        <w:rPr>
          <w:rFonts w:ascii="TimesNewRoman" w:eastAsiaTheme="minorHAnsi" w:hAnsi="TimesNewRoman" w:cs="TimesNewRoman"/>
          <w:sz w:val="24"/>
          <w:szCs w:val="24"/>
          <w:vertAlign w:val="superscript"/>
        </w:rPr>
        <w:t>)</w:t>
      </w:r>
      <w:r w:rsidR="00822093">
        <w:rPr>
          <w:rFonts w:ascii="TimesNewRoman" w:eastAsiaTheme="minorHAnsi" w:hAnsi="TimesNewRoman" w:cs="TimesNewRoman"/>
          <w:sz w:val="24"/>
          <w:szCs w:val="24"/>
        </w:rPr>
        <w:t xml:space="preserve"> stated that </w:t>
      </w:r>
      <w:r w:rsidR="00822093" w:rsidRPr="00822093">
        <w:rPr>
          <w:rFonts w:ascii="TimesNewRoman" w:eastAsiaTheme="minorHAnsi" w:hAnsi="TimesNewRoman" w:cs="TimesNewRoman"/>
          <w:sz w:val="24"/>
          <w:szCs w:val="24"/>
        </w:rPr>
        <w:t>cross-bite is an early and common malocclusion in children with clefts due to the reduced transverse maxillary arch widths.</w:t>
      </w:r>
    </w:p>
    <w:p w:rsidR="00D169A4" w:rsidRPr="00822093" w:rsidRDefault="00D169A4" w:rsidP="00E14FCC">
      <w:pPr>
        <w:autoSpaceDE w:val="0"/>
        <w:autoSpaceDN w:val="0"/>
        <w:adjustRightInd w:val="0"/>
        <w:spacing w:before="200" w:after="0" w:line="480" w:lineRule="auto"/>
        <w:ind w:firstLine="720"/>
        <w:jc w:val="both"/>
        <w:rPr>
          <w:rFonts w:ascii="TimesNewRoman" w:eastAsiaTheme="minorHAnsi" w:hAnsi="TimesNewRoman" w:cs="TimesNewRoman"/>
          <w:sz w:val="24"/>
          <w:szCs w:val="24"/>
        </w:rPr>
      </w:pPr>
      <w:r w:rsidRPr="00822093">
        <w:rPr>
          <w:rFonts w:ascii="TimesNewRoman" w:eastAsiaTheme="minorHAnsi" w:hAnsi="TimesNewRoman" w:cs="TimesNewRoman"/>
          <w:sz w:val="24"/>
          <w:szCs w:val="24"/>
        </w:rPr>
        <w:t>Different surgical protocols and infant orth</w:t>
      </w:r>
      <w:r w:rsidR="00822093">
        <w:rPr>
          <w:rFonts w:ascii="TimesNewRoman" w:eastAsiaTheme="minorHAnsi" w:hAnsi="TimesNewRoman" w:cs="TimesNewRoman"/>
          <w:sz w:val="24"/>
          <w:szCs w:val="24"/>
        </w:rPr>
        <w:t>opedics are used to correct unilateral cleft lip and palate (UCLP)</w:t>
      </w:r>
      <w:r w:rsidRPr="00822093">
        <w:rPr>
          <w:rFonts w:ascii="TimesNewRoman" w:eastAsiaTheme="minorHAnsi" w:hAnsi="TimesNewRoman" w:cs="TimesNewRoman"/>
          <w:sz w:val="24"/>
          <w:szCs w:val="24"/>
        </w:rPr>
        <w:t xml:space="preserve">. However, there is no general consensus on the optimal method of treatment. </w:t>
      </w:r>
      <w:r w:rsidR="00822093" w:rsidRPr="00822093">
        <w:rPr>
          <w:rFonts w:ascii="TimesNewRoman" w:eastAsiaTheme="minorHAnsi" w:hAnsi="TimesNewRoman" w:cs="TimesNewRoman"/>
          <w:sz w:val="24"/>
          <w:szCs w:val="24"/>
          <w:vertAlign w:val="superscript"/>
        </w:rPr>
        <w:t>(</w:t>
      </w:r>
      <w:r w:rsidR="00E14FCC">
        <w:rPr>
          <w:rFonts w:ascii="TimesNewRoman" w:eastAsiaTheme="minorHAnsi" w:hAnsi="TimesNewRoman" w:cs="TimesNewRoman"/>
          <w:sz w:val="24"/>
          <w:szCs w:val="24"/>
          <w:vertAlign w:val="superscript"/>
        </w:rPr>
        <w:t>20</w:t>
      </w:r>
      <w:r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Some centers use a multistage approach, in which more than one operation is done to close the UCLP and others use one-stage repair approach</w:t>
      </w:r>
      <w:r w:rsidR="00822093">
        <w:rPr>
          <w:rFonts w:ascii="TimesNewRoman" w:eastAsiaTheme="minorHAnsi" w:hAnsi="TimesNewRoman" w:cs="TimesNewRoman"/>
          <w:sz w:val="24"/>
          <w:szCs w:val="24"/>
        </w:rPr>
        <w:t>.</w:t>
      </w:r>
      <w:r w:rsidR="00822093" w:rsidRPr="00822093">
        <w:rPr>
          <w:rFonts w:ascii="TimesNewRoman" w:eastAsiaTheme="minorHAnsi" w:hAnsi="TimesNewRoman" w:cs="TimesNewRoman"/>
          <w:sz w:val="24"/>
          <w:szCs w:val="24"/>
          <w:vertAlign w:val="superscript"/>
        </w:rPr>
        <w:t xml:space="preserve"> </w:t>
      </w:r>
      <w:r w:rsidR="00E14FCC">
        <w:rPr>
          <w:rFonts w:ascii="TimesNewRoman" w:eastAsiaTheme="minorHAnsi" w:hAnsi="TimesNewRoman" w:cs="TimesNewRoman"/>
          <w:sz w:val="24"/>
          <w:szCs w:val="24"/>
          <w:vertAlign w:val="superscript"/>
        </w:rPr>
        <w:t>(21, 22</w:t>
      </w:r>
      <w:r w:rsidR="00822093"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The Oslo protocol is an example of multistage approach in which lip closure is accomplished by Millard technique </w:t>
      </w:r>
      <w:r w:rsidR="00E14FCC">
        <w:rPr>
          <w:rFonts w:ascii="TimesNewRoman" w:eastAsiaTheme="minorHAnsi" w:hAnsi="TimesNewRoman" w:cs="TimesNewRoman"/>
          <w:sz w:val="24"/>
          <w:szCs w:val="24"/>
          <w:vertAlign w:val="superscript"/>
        </w:rPr>
        <w:t>(23</w:t>
      </w:r>
      <w:r w:rsidRPr="00822093">
        <w:rPr>
          <w:rFonts w:ascii="TimesNewRoman" w:eastAsiaTheme="minorHAnsi" w:hAnsi="TimesNewRoman" w:cs="TimesNewRoman"/>
          <w:sz w:val="24"/>
          <w:szCs w:val="24"/>
          <w:vertAlign w:val="superscript"/>
        </w:rPr>
        <w:t xml:space="preserve">) </w:t>
      </w:r>
      <w:r w:rsidRPr="00822093">
        <w:rPr>
          <w:rFonts w:ascii="TimesNewRoman" w:eastAsiaTheme="minorHAnsi" w:hAnsi="TimesNewRoman" w:cs="TimesNewRoman"/>
          <w:sz w:val="24"/>
          <w:szCs w:val="24"/>
        </w:rPr>
        <w:t xml:space="preserve">at 3 months of </w:t>
      </w:r>
      <w:r w:rsidRPr="00822093">
        <w:rPr>
          <w:rFonts w:ascii="TimesNewRoman" w:eastAsiaTheme="minorHAnsi" w:hAnsi="TimesNewRoman" w:cs="TimesNewRoman"/>
          <w:sz w:val="24"/>
          <w:szCs w:val="24"/>
        </w:rPr>
        <w:lastRenderedPageBreak/>
        <w:t xml:space="preserve">age. The posterior palate is closed at 18 months using a modified von Langenbeck technique. </w:t>
      </w:r>
      <w:r w:rsidRPr="00822093">
        <w:rPr>
          <w:rFonts w:ascii="TimesNewRoman" w:eastAsiaTheme="minorHAnsi" w:hAnsi="TimesNewRoman" w:cs="TimesNewRoman"/>
          <w:sz w:val="24"/>
          <w:szCs w:val="24"/>
          <w:vertAlign w:val="superscript"/>
        </w:rPr>
        <w:t>(</w:t>
      </w:r>
      <w:r w:rsidR="00E14FCC">
        <w:rPr>
          <w:rFonts w:ascii="TimesNewRoman" w:eastAsiaTheme="minorHAnsi" w:hAnsi="TimesNewRoman" w:cs="TimesNewRoman"/>
          <w:sz w:val="24"/>
          <w:szCs w:val="24"/>
          <w:vertAlign w:val="superscript"/>
        </w:rPr>
        <w:t>24</w:t>
      </w:r>
      <w:r w:rsidRPr="00822093">
        <w:rPr>
          <w:rFonts w:ascii="TimesNewRoman" w:eastAsiaTheme="minorHAnsi" w:hAnsi="TimesNewRoman" w:cs="TimesNewRoman"/>
          <w:sz w:val="24"/>
          <w:szCs w:val="24"/>
          <w:vertAlign w:val="superscript"/>
        </w:rPr>
        <w:t xml:space="preserve">) </w:t>
      </w:r>
      <w:r w:rsidRPr="00822093">
        <w:rPr>
          <w:rFonts w:ascii="TimesNewRoman" w:eastAsiaTheme="minorHAnsi" w:hAnsi="TimesNewRoman" w:cs="TimesNewRoman"/>
          <w:sz w:val="24"/>
          <w:szCs w:val="24"/>
        </w:rPr>
        <w:t xml:space="preserve">Finally, alveolar bone grafting is done during the mixed dentition. Secondary surgery can be performed on an individual basis to repair any residual defect. </w:t>
      </w:r>
      <w:r w:rsidRPr="00822093">
        <w:rPr>
          <w:rFonts w:ascii="TimesNewRoman" w:eastAsiaTheme="minorHAnsi" w:hAnsi="TimesNewRoman" w:cs="TimesNewRoman"/>
          <w:sz w:val="24"/>
          <w:szCs w:val="24"/>
          <w:vertAlign w:val="superscript"/>
        </w:rPr>
        <w:t>(</w:t>
      </w:r>
      <w:r w:rsidR="00E14FCC">
        <w:rPr>
          <w:rFonts w:ascii="TimesNewRoman" w:eastAsiaTheme="minorHAnsi" w:hAnsi="TimesNewRoman" w:cs="TimesNewRoman"/>
          <w:sz w:val="24"/>
          <w:szCs w:val="24"/>
          <w:vertAlign w:val="superscript"/>
        </w:rPr>
        <w:t>21, 22</w:t>
      </w:r>
      <w:r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ab/>
      </w:r>
    </w:p>
    <w:p w:rsidR="00822093" w:rsidRPr="006B7CD3" w:rsidRDefault="00D169A4" w:rsidP="006B7CD3">
      <w:pPr>
        <w:autoSpaceDE w:val="0"/>
        <w:autoSpaceDN w:val="0"/>
        <w:adjustRightInd w:val="0"/>
        <w:spacing w:before="200" w:after="0" w:line="480" w:lineRule="auto"/>
        <w:jc w:val="both"/>
        <w:rPr>
          <w:rFonts w:ascii="TimesNewRoman" w:eastAsiaTheme="minorHAnsi" w:hAnsi="TimesNewRoman" w:cs="TimesNewRoman"/>
          <w:sz w:val="24"/>
          <w:szCs w:val="24"/>
        </w:rPr>
      </w:pPr>
      <w:r w:rsidRPr="00822093">
        <w:rPr>
          <w:rFonts w:ascii="TimesNewRoman" w:eastAsiaTheme="minorHAnsi" w:hAnsi="TimesNewRoman" w:cs="TimesNewRoman"/>
          <w:sz w:val="24"/>
          <w:szCs w:val="24"/>
        </w:rPr>
        <w:t xml:space="preserve">            In order to assess the treatment outcome regarding arch dimensions and occlusion of these various surgical protocols, different methods have been proposed. They can score dental arch relationships in the primary, mixed and permanent dentitions. Some have taken measurements directly from dental study casts, </w:t>
      </w:r>
      <w:r w:rsidRPr="00822093">
        <w:rPr>
          <w:rFonts w:ascii="TimesNewRoman" w:eastAsiaTheme="minorHAnsi" w:hAnsi="TimesNewRoman" w:cs="TimesNewRoman"/>
          <w:sz w:val="24"/>
          <w:szCs w:val="24"/>
          <w:vertAlign w:val="superscript"/>
        </w:rPr>
        <w:t>(</w:t>
      </w:r>
      <w:r w:rsidR="00121AD2">
        <w:rPr>
          <w:rFonts w:ascii="TimesNewRoman" w:eastAsiaTheme="minorHAnsi" w:hAnsi="TimesNewRoman" w:cs="TimesNewRoman"/>
          <w:sz w:val="24"/>
          <w:szCs w:val="24"/>
          <w:vertAlign w:val="superscript"/>
        </w:rPr>
        <w:t>25, 26</w:t>
      </w:r>
      <w:r w:rsidRPr="00822093">
        <w:rPr>
          <w:rFonts w:ascii="TimesNewRoman" w:eastAsiaTheme="minorHAnsi" w:hAnsi="TimesNewRoman" w:cs="TimesNewRoman"/>
          <w:sz w:val="24"/>
          <w:szCs w:val="24"/>
          <w:vertAlign w:val="superscript"/>
        </w:rPr>
        <w:t xml:space="preserve">) </w:t>
      </w:r>
      <w:r w:rsidRPr="00822093">
        <w:rPr>
          <w:rFonts w:ascii="TimesNewRoman" w:eastAsiaTheme="minorHAnsi" w:hAnsi="TimesNewRoman" w:cs="TimesNewRoman"/>
          <w:sz w:val="24"/>
          <w:szCs w:val="24"/>
        </w:rPr>
        <w:t xml:space="preserve">or have used photocopies of models </w:t>
      </w:r>
      <w:r w:rsidR="00121AD2">
        <w:rPr>
          <w:rFonts w:ascii="TimesNewRoman" w:eastAsiaTheme="minorHAnsi" w:hAnsi="TimesNewRoman" w:cs="TimesNewRoman"/>
          <w:sz w:val="24"/>
          <w:szCs w:val="24"/>
          <w:vertAlign w:val="superscript"/>
        </w:rPr>
        <w:t>(27</w:t>
      </w:r>
      <w:r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The Huddart and Bodenham system, </w:t>
      </w:r>
      <w:r w:rsidRPr="00822093">
        <w:rPr>
          <w:rFonts w:ascii="TimesNewRoman" w:eastAsiaTheme="minorHAnsi" w:hAnsi="TimesNewRoman" w:cs="TimesNewRoman"/>
          <w:sz w:val="24"/>
          <w:szCs w:val="24"/>
          <w:vertAlign w:val="superscript"/>
        </w:rPr>
        <w:t>(2</w:t>
      </w:r>
      <w:r w:rsidR="00121AD2">
        <w:rPr>
          <w:rFonts w:ascii="TimesNewRoman" w:eastAsiaTheme="minorHAnsi" w:hAnsi="TimesNewRoman" w:cs="TimesNewRoman"/>
          <w:sz w:val="24"/>
          <w:szCs w:val="24"/>
          <w:vertAlign w:val="superscript"/>
        </w:rPr>
        <w:t>8</w:t>
      </w:r>
      <w:r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was developed in 1969 to be applied on the study models of UCLP patients in the primary dentition. The system uses the frequency and severity of crossbites to evaluate maxillary arch constriction in the labial, greater (non-cleft) and lesser (cleft) buccal segments. A negative score represents maxillary arch constriction. Mossey et al, in 2003 </w:t>
      </w:r>
      <w:r w:rsidRPr="00822093">
        <w:rPr>
          <w:rFonts w:ascii="TimesNewRoman" w:eastAsiaTheme="minorHAnsi" w:hAnsi="TimesNewRoman" w:cs="TimesNewRoman"/>
          <w:sz w:val="24"/>
          <w:szCs w:val="24"/>
          <w:vertAlign w:val="superscript"/>
        </w:rPr>
        <w:t>(</w:t>
      </w:r>
      <w:r w:rsidR="00121AD2">
        <w:rPr>
          <w:rFonts w:ascii="TimesNewRoman" w:eastAsiaTheme="minorHAnsi" w:hAnsi="TimesNewRoman" w:cs="TimesNewRoman"/>
          <w:sz w:val="24"/>
          <w:szCs w:val="24"/>
          <w:vertAlign w:val="superscript"/>
        </w:rPr>
        <w:t>29</w:t>
      </w:r>
      <w:r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modified Huddart and Bodenham system to be used with the mixed dentition. Modified Huddart and Bodenham system is considered to be the most sensitive and objective index used. Nevertheless, the Great Ormond Street London, Oslo Norway (Goslon) ranking system developed by Mars et al </w:t>
      </w:r>
      <w:r w:rsidRPr="00822093">
        <w:rPr>
          <w:rFonts w:ascii="TimesNewRoman" w:eastAsiaTheme="minorHAnsi" w:hAnsi="TimesNewRoman" w:cs="TimesNewRoman"/>
          <w:sz w:val="24"/>
          <w:szCs w:val="24"/>
          <w:vertAlign w:val="superscript"/>
        </w:rPr>
        <w:t>(</w:t>
      </w:r>
      <w:r w:rsidR="00121AD2">
        <w:rPr>
          <w:rFonts w:ascii="TimesNewRoman" w:eastAsiaTheme="minorHAnsi" w:hAnsi="TimesNewRoman" w:cs="TimesNewRoman"/>
          <w:sz w:val="24"/>
          <w:szCs w:val="24"/>
          <w:vertAlign w:val="superscript"/>
        </w:rPr>
        <w:t>30</w:t>
      </w:r>
      <w:r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in 1987, is considered the most commonly used index that measures the treatment outcomes of surgical repair. However, it assesses dental arch relationships from study models in only the late mixed and early permanent dentitions. In 1997, Atack et al </w:t>
      </w:r>
      <w:r w:rsidRPr="00822093">
        <w:rPr>
          <w:rFonts w:ascii="TimesNewRoman" w:eastAsiaTheme="minorHAnsi" w:hAnsi="TimesNewRoman" w:cs="TimesNewRoman"/>
          <w:sz w:val="24"/>
          <w:szCs w:val="24"/>
          <w:vertAlign w:val="superscript"/>
        </w:rPr>
        <w:t>(</w:t>
      </w:r>
      <w:r w:rsidR="00121AD2">
        <w:rPr>
          <w:rFonts w:ascii="TimesNewRoman" w:eastAsiaTheme="minorHAnsi" w:hAnsi="TimesNewRoman" w:cs="TimesNewRoman"/>
          <w:sz w:val="24"/>
          <w:szCs w:val="24"/>
          <w:vertAlign w:val="superscript"/>
        </w:rPr>
        <w:t>31</w:t>
      </w:r>
      <w:r w:rsidRPr="00822093">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introduced a similar index, the five-year-old index, to be applied in the primary dentition. In spite of the common use of the Goslon and the five-year-old indices, they are considered subjective and a calibration course is required for those who wish to use the indices for outcome assessment. </w:t>
      </w:r>
      <w:r w:rsidRPr="00822093">
        <w:rPr>
          <w:rFonts w:ascii="TimesNewRoman" w:eastAsiaTheme="minorHAnsi" w:hAnsi="TimesNewRoman" w:cs="TimesNewRoman"/>
          <w:sz w:val="24"/>
          <w:szCs w:val="24"/>
          <w:vertAlign w:val="superscript"/>
        </w:rPr>
        <w:t>(</w:t>
      </w:r>
      <w:r w:rsidR="0041058B">
        <w:rPr>
          <w:rFonts w:ascii="TimesNewRoman" w:eastAsiaTheme="minorHAnsi" w:hAnsi="TimesNewRoman" w:cs="TimesNewRoman"/>
          <w:sz w:val="24"/>
          <w:szCs w:val="24"/>
          <w:vertAlign w:val="superscript"/>
        </w:rPr>
        <w:t>30, 31</w:t>
      </w:r>
      <w:r w:rsidRPr="00822093">
        <w:rPr>
          <w:rFonts w:ascii="TimesNewRoman" w:eastAsiaTheme="minorHAnsi" w:hAnsi="TimesNewRoman" w:cs="TimesNewRoman"/>
          <w:sz w:val="24"/>
          <w:szCs w:val="24"/>
          <w:vertAlign w:val="superscript"/>
        </w:rPr>
        <w:t>)</w:t>
      </w:r>
      <w:r w:rsidR="006B7CD3">
        <w:rPr>
          <w:rFonts w:ascii="TimesNewRoman" w:eastAsiaTheme="minorHAnsi" w:hAnsi="TimesNewRoman" w:cs="TimesNewRoman"/>
          <w:sz w:val="24"/>
          <w:szCs w:val="24"/>
        </w:rPr>
        <w:t xml:space="preserve">  </w:t>
      </w:r>
      <w:r w:rsidRPr="008B2D2D">
        <w:rPr>
          <w:rFonts w:ascii="TimesNewRoman" w:eastAsiaTheme="minorHAnsi" w:hAnsi="TimesNewRoman" w:cs="TimesNewRoman"/>
          <w:sz w:val="26"/>
          <w:szCs w:val="26"/>
        </w:rPr>
        <w:t xml:space="preserve">           </w:t>
      </w:r>
    </w:p>
    <w:p w:rsidR="00654DAD" w:rsidRDefault="00D169A4" w:rsidP="0041058B">
      <w:pPr>
        <w:autoSpaceDE w:val="0"/>
        <w:autoSpaceDN w:val="0"/>
        <w:adjustRightInd w:val="0"/>
        <w:spacing w:before="200" w:after="0" w:line="480" w:lineRule="auto"/>
        <w:ind w:firstLine="720"/>
        <w:jc w:val="both"/>
        <w:rPr>
          <w:rFonts w:ascii="TimesNewRoman" w:eastAsiaTheme="minorHAnsi" w:hAnsi="TimesNewRoman" w:cs="TimesNewRoman"/>
          <w:sz w:val="24"/>
          <w:szCs w:val="24"/>
        </w:rPr>
      </w:pPr>
      <w:r w:rsidRPr="008B2D2D">
        <w:rPr>
          <w:rFonts w:ascii="TimesNewRoman" w:eastAsiaTheme="minorHAnsi" w:hAnsi="TimesNewRoman" w:cs="TimesNewRoman"/>
          <w:sz w:val="26"/>
          <w:szCs w:val="26"/>
        </w:rPr>
        <w:t xml:space="preserve"> </w:t>
      </w:r>
      <w:r w:rsidRPr="00822093">
        <w:rPr>
          <w:rFonts w:ascii="TimesNewRoman" w:eastAsiaTheme="minorHAnsi" w:hAnsi="TimesNewRoman" w:cs="TimesNewRoman"/>
          <w:sz w:val="24"/>
          <w:szCs w:val="24"/>
        </w:rPr>
        <w:t xml:space="preserve">The ultimate aim of </w:t>
      </w:r>
      <w:r w:rsidR="00654DAD">
        <w:rPr>
          <w:rFonts w:ascii="TimesNewRoman" w:eastAsiaTheme="minorHAnsi" w:hAnsi="TimesNewRoman" w:cs="TimesNewRoman"/>
          <w:sz w:val="24"/>
          <w:szCs w:val="24"/>
        </w:rPr>
        <w:t>U</w:t>
      </w:r>
      <w:r w:rsidRPr="00822093">
        <w:rPr>
          <w:rFonts w:ascii="TimesNewRoman" w:eastAsiaTheme="minorHAnsi" w:hAnsi="TimesNewRoman" w:cs="TimesNewRoman"/>
          <w:sz w:val="24"/>
          <w:szCs w:val="24"/>
        </w:rPr>
        <w:t xml:space="preserve">CLP treatment is to achieve a normalization of functions such as speech, growth of the naso-maxillary complex, arch dimensions and occlusion as well as facial </w:t>
      </w:r>
      <w:r w:rsidRPr="00822093">
        <w:rPr>
          <w:rFonts w:ascii="TimesNewRoman" w:eastAsiaTheme="minorHAnsi" w:hAnsi="TimesNewRoman" w:cs="TimesNewRoman"/>
          <w:sz w:val="24"/>
          <w:szCs w:val="24"/>
        </w:rPr>
        <w:lastRenderedPageBreak/>
        <w:t xml:space="preserve">appearance which is a multidisciplinary task. </w:t>
      </w:r>
      <w:r w:rsidRPr="00654DAD">
        <w:rPr>
          <w:rFonts w:ascii="TimesNewRoman" w:eastAsiaTheme="minorHAnsi" w:hAnsi="TimesNewRoman" w:cs="TimesNewRoman"/>
          <w:sz w:val="24"/>
          <w:szCs w:val="24"/>
          <w:vertAlign w:val="superscript"/>
        </w:rPr>
        <w:t>(</w:t>
      </w:r>
      <w:r w:rsidR="00654DAD" w:rsidRPr="00654DAD">
        <w:rPr>
          <w:rFonts w:ascii="TimesNewRoman" w:eastAsiaTheme="minorHAnsi" w:hAnsi="TimesNewRoman" w:cs="TimesNewRoman"/>
          <w:sz w:val="24"/>
          <w:szCs w:val="24"/>
          <w:vertAlign w:val="superscript"/>
        </w:rPr>
        <w:t>3</w:t>
      </w:r>
      <w:r w:rsidR="0041058B">
        <w:rPr>
          <w:rFonts w:ascii="TimesNewRoman" w:eastAsiaTheme="minorHAnsi" w:hAnsi="TimesNewRoman" w:cs="TimesNewRoman"/>
          <w:sz w:val="24"/>
          <w:szCs w:val="24"/>
          <w:vertAlign w:val="superscript"/>
        </w:rPr>
        <w:t>2</w:t>
      </w:r>
      <w:r w:rsidRPr="00654DAD">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The pediatric dentists have a responsibility towards the overall dental care of these children. They are often involved in the presurgical and postsurgical phase of maxillary orthopedics as numerous dental anomalies and malocclusions are encountered during the late primary and mixed dentition stage with UCLP. These malocclusions are either attributed to the congenital clefting itself or may be secondary to the surgical correction of the primary defects. Pediatric dentists can use both active and passive appliances to bring the cleft segments into a more ideal alignment and thereby promote a better initial surgical outcome. </w:t>
      </w:r>
      <w:r w:rsidR="00654DAD" w:rsidRPr="00654DAD">
        <w:rPr>
          <w:rFonts w:ascii="TimesNewRoman" w:eastAsiaTheme="minorHAnsi" w:hAnsi="TimesNewRoman" w:cs="TimesNewRoman"/>
          <w:sz w:val="24"/>
          <w:szCs w:val="24"/>
          <w:vertAlign w:val="superscript"/>
        </w:rPr>
        <w:t>(3</w:t>
      </w:r>
      <w:r w:rsidR="0041058B">
        <w:rPr>
          <w:rFonts w:ascii="TimesNewRoman" w:eastAsiaTheme="minorHAnsi" w:hAnsi="TimesNewRoman" w:cs="TimesNewRoman"/>
          <w:sz w:val="24"/>
          <w:szCs w:val="24"/>
          <w:vertAlign w:val="superscript"/>
        </w:rPr>
        <w:t>3</w:t>
      </w:r>
      <w:r w:rsidRPr="00654DAD">
        <w:rPr>
          <w:rFonts w:ascii="TimesNewRoman" w:eastAsiaTheme="minorHAnsi" w:hAnsi="TimesNewRoman" w:cs="TimesNewRoman"/>
          <w:sz w:val="24"/>
          <w:szCs w:val="24"/>
          <w:vertAlign w:val="superscript"/>
        </w:rPr>
        <w:t xml:space="preserve">) </w:t>
      </w:r>
    </w:p>
    <w:p w:rsidR="00654DAD" w:rsidRPr="00822093" w:rsidRDefault="00D169A4" w:rsidP="0041058B">
      <w:pPr>
        <w:autoSpaceDE w:val="0"/>
        <w:autoSpaceDN w:val="0"/>
        <w:adjustRightInd w:val="0"/>
        <w:spacing w:before="200" w:after="0" w:line="480" w:lineRule="auto"/>
        <w:ind w:firstLine="720"/>
        <w:jc w:val="both"/>
        <w:rPr>
          <w:rFonts w:ascii="TimesNewRoman" w:eastAsiaTheme="minorHAnsi" w:hAnsi="TimesNewRoman" w:cs="TimesNewRoman"/>
          <w:sz w:val="24"/>
          <w:szCs w:val="24"/>
        </w:rPr>
      </w:pPr>
      <w:r w:rsidRPr="00822093">
        <w:rPr>
          <w:rFonts w:ascii="TimesNewRoman" w:eastAsiaTheme="minorHAnsi" w:hAnsi="TimesNewRoman" w:cs="TimesNewRoman"/>
          <w:sz w:val="24"/>
          <w:szCs w:val="24"/>
        </w:rPr>
        <w:t xml:space="preserve"> In order to identify and implement the highest possible standards of care for UCLP children by the pediatric dentist, assessment of early treatment outcome after primary surgical repair of lip and palate regarding </w:t>
      </w:r>
      <w:r w:rsidR="00551B84">
        <w:rPr>
          <w:rFonts w:cs="Times New Roman"/>
          <w:sz w:val="24"/>
          <w:szCs w:val="24"/>
        </w:rPr>
        <w:t>transverse dental a</w:t>
      </w:r>
      <w:r w:rsidR="00551B84" w:rsidRPr="005F0A29">
        <w:rPr>
          <w:rFonts w:cs="Times New Roman"/>
          <w:sz w:val="24"/>
          <w:szCs w:val="24"/>
        </w:rPr>
        <w:t>rch relationship and occlusion</w:t>
      </w:r>
      <w:r w:rsidRPr="00822093">
        <w:rPr>
          <w:rFonts w:ascii="TimesNewRoman" w:eastAsiaTheme="minorHAnsi" w:hAnsi="TimesNewRoman" w:cs="TimesNewRoman"/>
          <w:sz w:val="24"/>
          <w:szCs w:val="24"/>
        </w:rPr>
        <w:t xml:space="preserve"> is essential.   The </w:t>
      </w:r>
      <w:r w:rsidR="00551B84">
        <w:rPr>
          <w:rFonts w:cs="Times New Roman"/>
          <w:sz w:val="24"/>
          <w:szCs w:val="24"/>
        </w:rPr>
        <w:t>transverse dental a</w:t>
      </w:r>
      <w:r w:rsidR="00551B84" w:rsidRPr="005F0A29">
        <w:rPr>
          <w:rFonts w:cs="Times New Roman"/>
          <w:sz w:val="24"/>
          <w:szCs w:val="24"/>
        </w:rPr>
        <w:t>rch relationship and occlusion</w:t>
      </w:r>
      <w:r w:rsidR="00551B84">
        <w:rPr>
          <w:rFonts w:cs="Times New Roman"/>
          <w:sz w:val="24"/>
          <w:szCs w:val="24"/>
        </w:rPr>
        <w:t xml:space="preserve"> </w:t>
      </w:r>
      <w:r w:rsidRPr="00822093">
        <w:rPr>
          <w:rFonts w:ascii="TimesNewRoman" w:eastAsiaTheme="minorHAnsi" w:hAnsi="TimesNewRoman" w:cs="TimesNewRoman"/>
          <w:sz w:val="24"/>
          <w:szCs w:val="24"/>
        </w:rPr>
        <w:t xml:space="preserve">of these children have been evaluated by few investigators in Egypt. </w:t>
      </w:r>
      <w:r w:rsidR="00654DAD" w:rsidRPr="00654DAD">
        <w:rPr>
          <w:rFonts w:ascii="TimesNewRoman" w:eastAsiaTheme="minorHAnsi" w:hAnsi="TimesNewRoman" w:cs="TimesNewRoman"/>
          <w:sz w:val="24"/>
          <w:szCs w:val="24"/>
          <w:vertAlign w:val="superscript"/>
        </w:rPr>
        <w:t>(3</w:t>
      </w:r>
      <w:r w:rsidR="0041058B">
        <w:rPr>
          <w:rFonts w:ascii="TimesNewRoman" w:eastAsiaTheme="minorHAnsi" w:hAnsi="TimesNewRoman" w:cs="TimesNewRoman"/>
          <w:sz w:val="24"/>
          <w:szCs w:val="24"/>
          <w:vertAlign w:val="superscript"/>
        </w:rPr>
        <w:t>4</w:t>
      </w:r>
      <w:r w:rsidRPr="00654DAD">
        <w:rPr>
          <w:rFonts w:ascii="TimesNewRoman" w:eastAsiaTheme="minorHAnsi" w:hAnsi="TimesNewRoman" w:cs="TimesNewRoman"/>
          <w:sz w:val="24"/>
          <w:szCs w:val="24"/>
          <w:vertAlign w:val="superscript"/>
        </w:rPr>
        <w:t>)</w:t>
      </w:r>
      <w:r w:rsidRPr="00822093">
        <w:rPr>
          <w:rFonts w:ascii="TimesNewRoman" w:eastAsiaTheme="minorHAnsi" w:hAnsi="TimesNewRoman" w:cs="TimesNewRoman"/>
          <w:sz w:val="24"/>
          <w:szCs w:val="24"/>
        </w:rPr>
        <w:t xml:space="preserve">  This presents a gap that impedes the delivery of proper dental care to these children. The present </w:t>
      </w:r>
      <w:r w:rsidR="00623E44" w:rsidRPr="00822093">
        <w:rPr>
          <w:rFonts w:ascii="TimesNewRoman" w:eastAsiaTheme="minorHAnsi" w:hAnsi="TimesNewRoman" w:cs="TimesNewRoman"/>
          <w:sz w:val="24"/>
          <w:szCs w:val="24"/>
        </w:rPr>
        <w:t xml:space="preserve">study aims at filling this gap by highlighting the main characteristics of </w:t>
      </w:r>
      <w:r w:rsidR="00551B84">
        <w:rPr>
          <w:rFonts w:cs="Times New Roman"/>
          <w:sz w:val="24"/>
          <w:szCs w:val="24"/>
        </w:rPr>
        <w:t>transverse dental a</w:t>
      </w:r>
      <w:r w:rsidR="00551B84" w:rsidRPr="005F0A29">
        <w:rPr>
          <w:rFonts w:cs="Times New Roman"/>
          <w:sz w:val="24"/>
          <w:szCs w:val="24"/>
        </w:rPr>
        <w:t>rch relationship and occlusion</w:t>
      </w:r>
      <w:r w:rsidR="00551B84">
        <w:rPr>
          <w:rFonts w:cs="Times New Roman"/>
          <w:sz w:val="24"/>
          <w:szCs w:val="24"/>
        </w:rPr>
        <w:t xml:space="preserve"> </w:t>
      </w:r>
      <w:r w:rsidR="00623E44" w:rsidRPr="00822093">
        <w:rPr>
          <w:rFonts w:ascii="TimesNewRoman" w:eastAsiaTheme="minorHAnsi" w:hAnsi="TimesNewRoman" w:cs="TimesNewRoman"/>
          <w:sz w:val="24"/>
          <w:szCs w:val="24"/>
        </w:rPr>
        <w:t>in surgically repaired</w:t>
      </w:r>
      <w:r w:rsidR="00623E44" w:rsidRPr="00623E44">
        <w:rPr>
          <w:rFonts w:ascii="TimesNewRoman" w:eastAsiaTheme="minorHAnsi" w:hAnsi="TimesNewRoman" w:cs="TimesNewRoman"/>
          <w:sz w:val="26"/>
          <w:szCs w:val="26"/>
        </w:rPr>
        <w:t xml:space="preserve"> </w:t>
      </w:r>
      <w:r w:rsidR="00623E44" w:rsidRPr="00822093">
        <w:rPr>
          <w:rFonts w:ascii="TimesNewRoman" w:eastAsiaTheme="minorHAnsi" w:hAnsi="TimesNewRoman" w:cs="TimesNewRoman"/>
          <w:sz w:val="24"/>
          <w:szCs w:val="24"/>
        </w:rPr>
        <w:t xml:space="preserve">UCLP children by the Oslo surgical protocol and compares them with those of healthy, </w:t>
      </w:r>
      <w:r w:rsidR="0041058B">
        <w:rPr>
          <w:rFonts w:ascii="TimesNewRoman" w:eastAsiaTheme="minorHAnsi" w:hAnsi="TimesNewRoman" w:cs="TimesNewRoman"/>
          <w:sz w:val="24"/>
          <w:szCs w:val="24"/>
        </w:rPr>
        <w:t>comparable</w:t>
      </w:r>
      <w:r w:rsidR="00623E44" w:rsidRPr="00822093">
        <w:rPr>
          <w:rFonts w:ascii="TimesNewRoman" w:eastAsiaTheme="minorHAnsi" w:hAnsi="TimesNewRoman" w:cs="TimesNewRoman"/>
          <w:sz w:val="24"/>
          <w:szCs w:val="24"/>
        </w:rPr>
        <w:t xml:space="preserve">, non-cleft children </w:t>
      </w:r>
      <w:r w:rsidRPr="00822093">
        <w:rPr>
          <w:rFonts w:ascii="TimesNewRoman" w:eastAsiaTheme="minorHAnsi" w:hAnsi="TimesNewRoman" w:cs="TimesNewRoman"/>
          <w:sz w:val="24"/>
          <w:szCs w:val="24"/>
        </w:rPr>
        <w:t>to better meet the needs of this vulnerable group of children.</w:t>
      </w:r>
    </w:p>
    <w:p w:rsidR="006B7CD3" w:rsidRDefault="006B7CD3" w:rsidP="00AC59CE">
      <w:pPr>
        <w:spacing w:line="480" w:lineRule="auto"/>
        <w:rPr>
          <w:rFonts w:ascii="TimesNewRoman" w:eastAsiaTheme="minorHAnsi" w:hAnsi="TimesNewRoman" w:cs="TimesNewRoman"/>
          <w:b/>
          <w:bCs/>
          <w:sz w:val="24"/>
          <w:szCs w:val="24"/>
        </w:rPr>
      </w:pPr>
    </w:p>
    <w:p w:rsidR="00623E44" w:rsidRPr="00654DAD" w:rsidRDefault="00623E44" w:rsidP="00AC59CE">
      <w:pPr>
        <w:spacing w:line="480" w:lineRule="auto"/>
        <w:rPr>
          <w:rFonts w:ascii="TimesNewRoman" w:eastAsiaTheme="minorHAnsi" w:hAnsi="TimesNewRoman" w:cs="TimesNewRoman"/>
          <w:b/>
          <w:bCs/>
          <w:sz w:val="24"/>
          <w:szCs w:val="24"/>
        </w:rPr>
      </w:pPr>
      <w:r w:rsidRPr="00654DAD">
        <w:rPr>
          <w:rFonts w:ascii="TimesNewRoman" w:eastAsiaTheme="minorHAnsi" w:hAnsi="TimesNewRoman" w:cs="TimesNewRoman"/>
          <w:b/>
          <w:bCs/>
          <w:sz w:val="24"/>
          <w:szCs w:val="24"/>
        </w:rPr>
        <w:t>Material and Methods</w:t>
      </w:r>
    </w:p>
    <w:p w:rsidR="00551B84" w:rsidRPr="00D66001" w:rsidRDefault="00551B84" w:rsidP="0041058B">
      <w:pPr>
        <w:spacing w:before="200" w:after="0" w:line="480" w:lineRule="auto"/>
        <w:ind w:firstLine="720"/>
        <w:jc w:val="both"/>
        <w:rPr>
          <w:rFonts w:asciiTheme="majorBidi" w:eastAsiaTheme="minorHAnsi" w:hAnsiTheme="majorBidi" w:cstheme="majorBidi"/>
          <w:sz w:val="24"/>
          <w:szCs w:val="24"/>
        </w:rPr>
      </w:pPr>
      <w:r w:rsidRPr="00D66001">
        <w:rPr>
          <w:rFonts w:asciiTheme="majorBidi" w:eastAsiaTheme="minorHAnsi" w:hAnsiTheme="majorBidi" w:cstheme="majorBidi"/>
          <w:sz w:val="24"/>
          <w:szCs w:val="24"/>
        </w:rPr>
        <w:t xml:space="preserve">The study was a comparative cross sectional study design.  </w:t>
      </w:r>
      <w:r w:rsidRPr="00D66001">
        <w:rPr>
          <w:rFonts w:asciiTheme="majorBidi" w:hAnsiTheme="majorBidi" w:cstheme="majorBidi"/>
          <w:sz w:val="24"/>
          <w:szCs w:val="24"/>
        </w:rPr>
        <w:t xml:space="preserve">Thirty-one unilateral cleft lip and palate (UCLP) children (21 boys and 10 girls) with a mean age of 7.35 years together with </w:t>
      </w:r>
      <w:r w:rsidRPr="00D66001">
        <w:rPr>
          <w:rFonts w:asciiTheme="majorBidi" w:hAnsiTheme="majorBidi" w:cstheme="majorBidi"/>
          <w:sz w:val="24"/>
          <w:szCs w:val="24"/>
        </w:rPr>
        <w:lastRenderedPageBreak/>
        <w:t xml:space="preserve">thirty-one healthy, </w:t>
      </w:r>
      <w:r w:rsidR="0041058B">
        <w:rPr>
          <w:rFonts w:asciiTheme="majorBidi" w:hAnsiTheme="majorBidi" w:cstheme="majorBidi"/>
          <w:sz w:val="24"/>
          <w:szCs w:val="24"/>
        </w:rPr>
        <w:t>comparable</w:t>
      </w:r>
      <w:r w:rsidRPr="00D66001">
        <w:rPr>
          <w:rFonts w:asciiTheme="majorBidi" w:hAnsiTheme="majorBidi" w:cstheme="majorBidi"/>
          <w:sz w:val="24"/>
          <w:szCs w:val="24"/>
        </w:rPr>
        <w:t xml:space="preserve">, non-cleft children (20 boys and 11 girls) with a mean age of 7.13 years </w:t>
      </w:r>
      <w:r w:rsidRPr="00D66001">
        <w:rPr>
          <w:rFonts w:asciiTheme="majorBidi" w:eastAsiaTheme="minorHAnsi" w:hAnsiTheme="majorBidi" w:cstheme="majorBidi"/>
          <w:sz w:val="24"/>
          <w:szCs w:val="24"/>
        </w:rPr>
        <w:t>were recruited from Faculty of Dentistry, Alexandria University.</w:t>
      </w:r>
      <w:r w:rsidRPr="00D66001">
        <w:rPr>
          <w:rFonts w:asciiTheme="majorBidi" w:hAnsiTheme="majorBidi" w:cstheme="majorBidi"/>
          <w:sz w:val="24"/>
          <w:szCs w:val="24"/>
        </w:rPr>
        <w:t xml:space="preserve"> </w:t>
      </w:r>
    </w:p>
    <w:p w:rsidR="00623E44" w:rsidRPr="00551B84" w:rsidRDefault="00551B84" w:rsidP="00955AF3">
      <w:pPr>
        <w:spacing w:before="240" w:after="0" w:line="480" w:lineRule="auto"/>
        <w:ind w:firstLine="720"/>
        <w:jc w:val="both"/>
        <w:rPr>
          <w:rFonts w:asciiTheme="majorBidi" w:hAnsiTheme="majorBidi" w:cstheme="majorBidi"/>
          <w:sz w:val="24"/>
          <w:szCs w:val="24"/>
        </w:rPr>
      </w:pPr>
      <w:r w:rsidRPr="00D66001">
        <w:rPr>
          <w:rFonts w:asciiTheme="majorBidi" w:hAnsiTheme="majorBidi" w:cstheme="majorBidi"/>
          <w:sz w:val="24"/>
          <w:szCs w:val="24"/>
        </w:rPr>
        <w:t>The inclusion criteria of the UCLP children were</w:t>
      </w:r>
      <w:r w:rsidRPr="00D66001">
        <w:rPr>
          <w:rFonts w:asciiTheme="majorBidi" w:hAnsiTheme="majorBidi" w:cstheme="majorBidi"/>
          <w:i/>
          <w:iCs/>
          <w:sz w:val="24"/>
          <w:szCs w:val="24"/>
        </w:rPr>
        <w:t xml:space="preserve"> </w:t>
      </w:r>
      <w:r w:rsidRPr="00D66001">
        <w:rPr>
          <w:rFonts w:asciiTheme="majorBidi" w:hAnsiTheme="majorBidi" w:cstheme="majorBidi"/>
          <w:sz w:val="24"/>
          <w:szCs w:val="24"/>
        </w:rPr>
        <w:t xml:space="preserve">children of both genders, aging from four to nine years old, with surgically repaired UCLP according to the Oslo surgical protocol </w:t>
      </w:r>
      <w:r w:rsidR="0041058B">
        <w:rPr>
          <w:rFonts w:asciiTheme="majorBidi" w:hAnsiTheme="majorBidi" w:cstheme="majorBidi"/>
          <w:sz w:val="24"/>
          <w:szCs w:val="24"/>
          <w:vertAlign w:val="superscript"/>
        </w:rPr>
        <w:t>(</w:t>
      </w:r>
      <w:r w:rsidR="00955AF3">
        <w:rPr>
          <w:rFonts w:asciiTheme="majorBidi" w:hAnsiTheme="majorBidi" w:cstheme="majorBidi"/>
          <w:sz w:val="24"/>
          <w:szCs w:val="24"/>
          <w:vertAlign w:val="superscript"/>
        </w:rPr>
        <w:t>22</w:t>
      </w:r>
      <w:r w:rsidRPr="00551B84">
        <w:rPr>
          <w:rFonts w:asciiTheme="majorBidi" w:hAnsiTheme="majorBidi" w:cstheme="majorBidi"/>
          <w:sz w:val="24"/>
          <w:szCs w:val="24"/>
          <w:vertAlign w:val="superscript"/>
        </w:rPr>
        <w:t>)</w:t>
      </w:r>
      <w:r w:rsidRPr="00D66001">
        <w:rPr>
          <w:rFonts w:asciiTheme="majorBidi" w:hAnsiTheme="majorBidi" w:cstheme="majorBidi"/>
          <w:sz w:val="24"/>
          <w:szCs w:val="24"/>
        </w:rPr>
        <w:t>. (Table 1)</w:t>
      </w:r>
      <w:r w:rsidRPr="00D66001">
        <w:rPr>
          <w:rFonts w:asciiTheme="majorBidi" w:hAnsiTheme="majorBidi" w:cstheme="majorBidi"/>
          <w:i/>
          <w:iCs/>
          <w:sz w:val="24"/>
          <w:szCs w:val="24"/>
        </w:rPr>
        <w:t xml:space="preserve"> </w:t>
      </w:r>
      <w:r w:rsidRPr="00D66001">
        <w:rPr>
          <w:rFonts w:asciiTheme="majorBidi" w:hAnsiTheme="majorBidi" w:cstheme="majorBidi"/>
          <w:sz w:val="24"/>
          <w:szCs w:val="24"/>
        </w:rPr>
        <w:t>Children with any systemic diseases, intellectual disabilities or syndromes and congenital anomalies other than UCLP were excluded from the study as well as UCLP children with previous naso-alveolar moulding, orthodontic treatment or bone graft.</w:t>
      </w:r>
    </w:p>
    <w:p w:rsidR="00093D72" w:rsidRDefault="00093D72" w:rsidP="00551B84">
      <w:pPr>
        <w:spacing w:after="0" w:line="480" w:lineRule="auto"/>
        <w:jc w:val="both"/>
        <w:rPr>
          <w:rFonts w:eastAsia="Times New Roman" w:cs="Times New Roman"/>
          <w:sz w:val="24"/>
          <w:szCs w:val="24"/>
        </w:rPr>
      </w:pPr>
      <w:r>
        <w:rPr>
          <w:rFonts w:eastAsia="Times New Roman" w:cs="Times New Roman"/>
          <w:sz w:val="24"/>
          <w:szCs w:val="24"/>
        </w:rPr>
        <w:tab/>
      </w:r>
      <w:r w:rsidR="00551B84" w:rsidRPr="00D66001">
        <w:rPr>
          <w:rFonts w:asciiTheme="majorBidi" w:hAnsiTheme="majorBidi" w:cstheme="majorBidi"/>
          <w:sz w:val="24"/>
          <w:szCs w:val="24"/>
        </w:rPr>
        <w:t>As regards the non-cleft  children (control group), healthy children free from any systemic diseases or syndromes, aging from four to nine-year old, free from oral habits and with limited or no crowding of teeth and no premature loss of teeth were included in this study.</w:t>
      </w:r>
    </w:p>
    <w:p w:rsidR="00623E44" w:rsidRPr="00654DAD" w:rsidRDefault="00623E44" w:rsidP="0041058B">
      <w:pPr>
        <w:spacing w:after="0" w:line="480" w:lineRule="auto"/>
        <w:ind w:firstLine="720"/>
        <w:jc w:val="both"/>
        <w:rPr>
          <w:rFonts w:eastAsia="Times New Roman" w:cs="Times New Roman"/>
          <w:sz w:val="24"/>
          <w:szCs w:val="24"/>
        </w:rPr>
      </w:pPr>
      <w:r w:rsidRPr="00654DAD">
        <w:rPr>
          <w:rFonts w:eastAsia="Times New Roman" w:cs="Times New Roman"/>
          <w:sz w:val="24"/>
          <w:szCs w:val="24"/>
        </w:rPr>
        <w:t xml:space="preserve">Ethical approval for the study </w:t>
      </w:r>
      <w:r w:rsidR="00102411" w:rsidRPr="00654DAD">
        <w:rPr>
          <w:rFonts w:eastAsia="Times New Roman" w:cs="Times New Roman"/>
          <w:sz w:val="24"/>
          <w:szCs w:val="24"/>
        </w:rPr>
        <w:t>was</w:t>
      </w:r>
      <w:r w:rsidRPr="00654DAD">
        <w:rPr>
          <w:rFonts w:eastAsia="Times New Roman" w:cs="Times New Roman"/>
          <w:sz w:val="24"/>
          <w:szCs w:val="24"/>
        </w:rPr>
        <w:t xml:space="preserve"> first obtained from Dental Research Ethics Committee, Faculty of Dentistry, Alexandria University. The children'</w:t>
      </w:r>
      <w:r w:rsidR="00102411" w:rsidRPr="00654DAD">
        <w:rPr>
          <w:rFonts w:eastAsia="Times New Roman" w:cs="Times New Roman"/>
          <w:sz w:val="24"/>
          <w:szCs w:val="24"/>
        </w:rPr>
        <w:t>s parents or guardian</w:t>
      </w:r>
      <w:r w:rsidR="0041058B">
        <w:rPr>
          <w:rFonts w:eastAsia="Times New Roman" w:cs="Times New Roman"/>
          <w:sz w:val="24"/>
          <w:szCs w:val="24"/>
        </w:rPr>
        <w:t>s</w:t>
      </w:r>
      <w:r w:rsidR="00102411" w:rsidRPr="00654DAD">
        <w:rPr>
          <w:rFonts w:eastAsia="Times New Roman" w:cs="Times New Roman"/>
          <w:sz w:val="24"/>
          <w:szCs w:val="24"/>
        </w:rPr>
        <w:t xml:space="preserve"> w</w:t>
      </w:r>
      <w:r w:rsidR="0041058B">
        <w:rPr>
          <w:rFonts w:eastAsia="Times New Roman" w:cs="Times New Roman"/>
          <w:sz w:val="24"/>
          <w:szCs w:val="24"/>
        </w:rPr>
        <w:t>ere</w:t>
      </w:r>
      <w:r w:rsidRPr="00654DAD">
        <w:rPr>
          <w:rFonts w:eastAsia="Times New Roman" w:cs="Times New Roman"/>
          <w:sz w:val="24"/>
          <w:szCs w:val="24"/>
        </w:rPr>
        <w:t xml:space="preserve"> asked to sign an informed consent</w:t>
      </w:r>
      <w:r w:rsidR="00102411" w:rsidRPr="00654DAD">
        <w:rPr>
          <w:rFonts w:eastAsia="Times New Roman" w:cs="Times New Roman"/>
          <w:sz w:val="24"/>
          <w:szCs w:val="24"/>
        </w:rPr>
        <w:t xml:space="preserve">. </w:t>
      </w:r>
      <w:r w:rsidRPr="00654DAD">
        <w:rPr>
          <w:rFonts w:eastAsia="Times New Roman" w:cs="Times New Roman"/>
          <w:sz w:val="24"/>
          <w:szCs w:val="24"/>
        </w:rPr>
        <w:t xml:space="preserve"> </w:t>
      </w:r>
      <w:r w:rsidR="00102411" w:rsidRPr="00654DAD">
        <w:rPr>
          <w:rFonts w:eastAsia="Times New Roman" w:cs="Times New Roman"/>
          <w:sz w:val="24"/>
          <w:szCs w:val="24"/>
        </w:rPr>
        <w:t>Participants were</w:t>
      </w:r>
      <w:r w:rsidRPr="00654DAD">
        <w:rPr>
          <w:rFonts w:eastAsia="Times New Roman" w:cs="Times New Roman"/>
          <w:sz w:val="24"/>
          <w:szCs w:val="24"/>
        </w:rPr>
        <w:t xml:space="preserve"> assured of the confidentiality of the co</w:t>
      </w:r>
      <w:r w:rsidR="00102411" w:rsidRPr="00654DAD">
        <w:rPr>
          <w:rFonts w:eastAsia="Times New Roman" w:cs="Times New Roman"/>
          <w:sz w:val="24"/>
          <w:szCs w:val="24"/>
        </w:rPr>
        <w:t>llected data and that it was</w:t>
      </w:r>
      <w:r w:rsidRPr="00654DAD">
        <w:rPr>
          <w:rFonts w:eastAsia="Times New Roman" w:cs="Times New Roman"/>
          <w:sz w:val="24"/>
          <w:szCs w:val="24"/>
        </w:rPr>
        <w:t xml:space="preserve"> u</w:t>
      </w:r>
      <w:r w:rsidR="00102411" w:rsidRPr="00654DAD">
        <w:rPr>
          <w:rFonts w:eastAsia="Times New Roman" w:cs="Times New Roman"/>
          <w:sz w:val="24"/>
          <w:szCs w:val="24"/>
        </w:rPr>
        <w:t>sed only for research purposes.</w:t>
      </w:r>
    </w:p>
    <w:p w:rsidR="00551B84" w:rsidRPr="00D66001" w:rsidRDefault="00551B84" w:rsidP="00551B84">
      <w:pPr>
        <w:spacing w:before="240" w:after="100" w:afterAutospacing="1" w:line="480" w:lineRule="auto"/>
        <w:ind w:firstLine="720"/>
        <w:jc w:val="mediumKashida"/>
        <w:rPr>
          <w:rFonts w:asciiTheme="majorBidi" w:hAnsiTheme="majorBidi" w:cstheme="majorBidi"/>
          <w:sz w:val="24"/>
          <w:szCs w:val="24"/>
        </w:rPr>
      </w:pPr>
      <w:r w:rsidRPr="00D66001">
        <w:rPr>
          <w:rFonts w:asciiTheme="majorBidi" w:hAnsiTheme="majorBidi" w:cstheme="majorBidi"/>
          <w:sz w:val="24"/>
          <w:szCs w:val="24"/>
        </w:rPr>
        <w:t>Measurements were carried out by the researcher who was trained and calibrated to develop an acceptable intra-examiner consistency in assessing dental arch dimensions. Intra-examiner reliability was done using Kappa test which was 0.877 for all dental arch dimensions.</w:t>
      </w:r>
    </w:p>
    <w:p w:rsidR="00905080" w:rsidRDefault="00E168CE" w:rsidP="00905080">
      <w:pPr>
        <w:spacing w:before="0" w:after="0" w:line="480" w:lineRule="auto"/>
        <w:ind w:firstLine="720"/>
        <w:jc w:val="both"/>
        <w:rPr>
          <w:rFonts w:eastAsia="Times New Roman" w:cs="Times New Roman"/>
          <w:sz w:val="24"/>
          <w:szCs w:val="24"/>
        </w:rPr>
      </w:pPr>
      <w:r w:rsidRPr="00E168CE">
        <w:rPr>
          <w:rFonts w:eastAsia="Times New Roman" w:cs="Times New Roman"/>
          <w:sz w:val="24"/>
          <w:szCs w:val="24"/>
        </w:rPr>
        <w:t xml:space="preserve">For each subject, demographic data </w:t>
      </w:r>
      <w:r w:rsidRPr="00FF547A">
        <w:rPr>
          <w:rFonts w:eastAsia="Times New Roman" w:cs="Times New Roman"/>
          <w:sz w:val="24"/>
          <w:szCs w:val="24"/>
        </w:rPr>
        <w:t>were recorded and intra-oral examination was done to determine cleft side, presence or absence of palatal fistula and all erupted teeth. Upper and lower alginate impressions as well as a wax-bite under centric occlusion were taken and dental arch dimensions and arch relationships were recorded using the study casts.</w:t>
      </w:r>
      <w:r w:rsidR="00FF547A" w:rsidRPr="00FF547A">
        <w:rPr>
          <w:rFonts w:eastAsia="Times New Roman" w:cs="Times New Roman"/>
          <w:b/>
          <w:bCs/>
          <w:sz w:val="24"/>
          <w:szCs w:val="24"/>
        </w:rPr>
        <w:t xml:space="preserve"> </w:t>
      </w:r>
    </w:p>
    <w:p w:rsidR="00A30B32" w:rsidRDefault="00A30B32" w:rsidP="00905080">
      <w:pPr>
        <w:spacing w:before="0" w:after="0" w:line="480" w:lineRule="auto"/>
        <w:ind w:firstLine="720"/>
        <w:jc w:val="both"/>
        <w:rPr>
          <w:rFonts w:eastAsia="Times New Roman" w:cs="Times New Roman"/>
          <w:sz w:val="24"/>
          <w:szCs w:val="24"/>
        </w:rPr>
      </w:pPr>
      <w:r>
        <w:rPr>
          <w:rFonts w:eastAsia="Times New Roman" w:cs="Times New Roman"/>
          <w:sz w:val="24"/>
          <w:szCs w:val="24"/>
        </w:rPr>
        <w:t>As regards occlusion assessment</w:t>
      </w:r>
      <w:r w:rsidRPr="00FD6834">
        <w:rPr>
          <w:rFonts w:eastAsia="Times New Roman" w:cs="Times New Roman"/>
          <w:sz w:val="24"/>
          <w:szCs w:val="24"/>
        </w:rPr>
        <w:t xml:space="preserve">, sagittal molar relation in primary dentition was determined as either flush terminal plane, mesial step or distal step. In mixed dentition, permanent molar relation was recorded according to angle classification as end-to end molar </w:t>
      </w:r>
      <w:r>
        <w:rPr>
          <w:rFonts w:eastAsia="Times New Roman" w:cs="Times New Roman"/>
          <w:sz w:val="24"/>
          <w:szCs w:val="24"/>
        </w:rPr>
        <w:t>relation, class I, II or III</w:t>
      </w:r>
      <w:r w:rsidRPr="00FD6834">
        <w:rPr>
          <w:rFonts w:eastAsia="Times New Roman" w:cs="Times New Roman"/>
          <w:sz w:val="24"/>
          <w:szCs w:val="24"/>
        </w:rPr>
        <w:t>.</w:t>
      </w:r>
      <w:r>
        <w:rPr>
          <w:rFonts w:eastAsia="Times New Roman" w:cs="Times New Roman"/>
          <w:sz w:val="24"/>
          <w:szCs w:val="24"/>
        </w:rPr>
        <w:t xml:space="preserve"> Sagittal cuspid relation was also classified according to Angle's into class I, II or III.</w:t>
      </w:r>
      <w:r w:rsidR="00955AF3">
        <w:rPr>
          <w:rFonts w:eastAsia="Times New Roman" w:cs="Times New Roman"/>
          <w:sz w:val="24"/>
          <w:szCs w:val="24"/>
        </w:rPr>
        <w:t xml:space="preserve"> </w:t>
      </w:r>
      <w:r w:rsidR="00955AF3" w:rsidRPr="00955AF3">
        <w:rPr>
          <w:rFonts w:eastAsia="Times New Roman" w:cs="Times New Roman"/>
          <w:sz w:val="24"/>
          <w:szCs w:val="24"/>
          <w:vertAlign w:val="superscript"/>
        </w:rPr>
        <w:t>(35)</w:t>
      </w:r>
    </w:p>
    <w:p w:rsidR="00F86E8E" w:rsidRDefault="00F86E8E" w:rsidP="00F86E8E">
      <w:pPr>
        <w:spacing w:before="0" w:after="0" w:line="480" w:lineRule="auto"/>
        <w:ind w:left="284"/>
        <w:jc w:val="mediumKashida"/>
        <w:rPr>
          <w:rFonts w:eastAsia="Times New Roman" w:cs="Times New Roman"/>
          <w:sz w:val="24"/>
          <w:szCs w:val="24"/>
        </w:rPr>
      </w:pPr>
      <w:r w:rsidRPr="00164720">
        <w:rPr>
          <w:rFonts w:eastAsia="Times New Roman" w:cs="Times New Roman"/>
          <w:sz w:val="24"/>
          <w:szCs w:val="24"/>
        </w:rPr>
        <w:tab/>
      </w:r>
      <w:r>
        <w:rPr>
          <w:rFonts w:eastAsia="Times New Roman" w:cs="Times New Roman"/>
          <w:sz w:val="24"/>
          <w:szCs w:val="24"/>
        </w:rPr>
        <w:t>Transverse d</w:t>
      </w:r>
      <w:r w:rsidRPr="00164720">
        <w:rPr>
          <w:rFonts w:eastAsia="Times New Roman" w:cs="Times New Roman"/>
          <w:sz w:val="24"/>
          <w:szCs w:val="24"/>
        </w:rPr>
        <w:t>ental arch relationships were recorded using the modified Huddart/ Bodenham scoring system of bucco-lingua</w:t>
      </w:r>
      <w:r>
        <w:rPr>
          <w:rFonts w:eastAsia="Times New Roman" w:cs="Times New Roman"/>
          <w:sz w:val="24"/>
          <w:szCs w:val="24"/>
        </w:rPr>
        <w:t>l dental relationships (Figure 1</w:t>
      </w:r>
      <w:r w:rsidRPr="00164720">
        <w:rPr>
          <w:rFonts w:eastAsia="Times New Roman" w:cs="Times New Roman"/>
          <w:sz w:val="24"/>
          <w:szCs w:val="24"/>
        </w:rPr>
        <w:t>).</w:t>
      </w:r>
      <w:r w:rsidR="00955AF3">
        <w:rPr>
          <w:rFonts w:eastAsia="Times New Roman" w:cs="Times New Roman"/>
          <w:sz w:val="24"/>
          <w:szCs w:val="24"/>
        </w:rPr>
        <w:t xml:space="preserve"> </w:t>
      </w:r>
      <w:r w:rsidR="00955AF3" w:rsidRPr="00955AF3">
        <w:rPr>
          <w:rFonts w:eastAsia="Times New Roman" w:cs="Times New Roman"/>
          <w:sz w:val="24"/>
          <w:szCs w:val="24"/>
          <w:vertAlign w:val="superscript"/>
        </w:rPr>
        <w:t>(29)</w:t>
      </w:r>
      <w:r w:rsidRPr="00955AF3">
        <w:rPr>
          <w:rFonts w:eastAsia="Times New Roman" w:cs="Times New Roman"/>
          <w:sz w:val="24"/>
          <w:szCs w:val="24"/>
          <w:vertAlign w:val="superscript"/>
        </w:rPr>
        <w:t xml:space="preserve">  </w:t>
      </w:r>
      <w:r w:rsidRPr="00164720">
        <w:rPr>
          <w:rFonts w:eastAsia="Times New Roman" w:cs="Times New Roman"/>
          <w:sz w:val="24"/>
          <w:szCs w:val="24"/>
        </w:rPr>
        <w:t>The sum of the modified Huddart/Bodenham scores for a given model was described as the “Total arch constriction score”.</w:t>
      </w:r>
    </w:p>
    <w:p w:rsidR="00F84A1C" w:rsidRPr="008E2F73" w:rsidRDefault="00E63CEF" w:rsidP="008E2F73">
      <w:pPr>
        <w:spacing w:before="200" w:after="0" w:line="480" w:lineRule="auto"/>
        <w:ind w:left="284" w:firstLine="436"/>
        <w:jc w:val="both"/>
        <w:rPr>
          <w:rFonts w:eastAsia="Times New Roman" w:cs="Times New Roman"/>
          <w:sz w:val="24"/>
          <w:szCs w:val="24"/>
        </w:rPr>
      </w:pPr>
      <w:r w:rsidRPr="00D24A3B">
        <w:rPr>
          <w:rFonts w:eastAsia="Times New Roman" w:cs="Times New Roman"/>
          <w:sz w:val="24"/>
          <w:szCs w:val="24"/>
        </w:rPr>
        <w:t xml:space="preserve">Data were entered into an Excel file using patient identification numbers. Data were fed to the computer and analyzed using IBM SPSS software package version 20.0. Qualitative data were described using number and percent. Quantitative data were described using range (minimum and maximum), mean and standard deviation. </w:t>
      </w:r>
      <w:r w:rsidR="006B7CD3" w:rsidRPr="006B7CD3">
        <w:rPr>
          <w:rFonts w:eastAsia="Times New Roman" w:cs="Times New Roman"/>
          <w:sz w:val="24"/>
          <w:szCs w:val="24"/>
        </w:rPr>
        <w:t>As regards sagittal canine, primary and permanent molar relation, Fisher’s exact test was conducted to compare between cleft group and non-cleft group. Independent samples t-test and Mann-Whitney test were used to compare Huddart/ Bodenham scores of both groups. Significance of obtained results was judged at the 5% level.</w:t>
      </w:r>
    </w:p>
    <w:p w:rsidR="00164720" w:rsidRDefault="00E64AE0" w:rsidP="00977B6A">
      <w:pPr>
        <w:spacing w:after="0" w:line="480" w:lineRule="auto"/>
        <w:jc w:val="both"/>
        <w:rPr>
          <w:rFonts w:eastAsia="Times New Roman" w:cs="Times New Roman"/>
          <w:b/>
          <w:bCs/>
          <w:sz w:val="24"/>
          <w:szCs w:val="24"/>
        </w:rPr>
      </w:pPr>
      <w:r w:rsidRPr="00E64AE0">
        <w:rPr>
          <w:rFonts w:eastAsia="Times New Roman" w:cs="Times New Roman"/>
          <w:b/>
          <w:bCs/>
          <w:sz w:val="24"/>
          <w:szCs w:val="24"/>
        </w:rPr>
        <w:t>Results</w:t>
      </w:r>
    </w:p>
    <w:p w:rsidR="00F84A1C" w:rsidRDefault="00E64AE0" w:rsidP="00F84A1C">
      <w:pPr>
        <w:spacing w:before="240" w:line="480" w:lineRule="auto"/>
        <w:jc w:val="mediumKashida"/>
        <w:rPr>
          <w:rFonts w:asciiTheme="majorBidi" w:hAnsiTheme="majorBidi" w:cstheme="majorBidi"/>
          <w:sz w:val="24"/>
          <w:szCs w:val="24"/>
        </w:rPr>
      </w:pPr>
      <w:r w:rsidRPr="00E64AE0">
        <w:rPr>
          <w:rFonts w:eastAsia="Times New Roman" w:cs="Times New Roman"/>
          <w:b/>
          <w:bCs/>
          <w:sz w:val="22"/>
        </w:rPr>
        <w:tab/>
      </w:r>
      <w:r w:rsidR="00F84A1C" w:rsidRPr="00D66001">
        <w:rPr>
          <w:rFonts w:asciiTheme="majorBidi" w:hAnsiTheme="majorBidi" w:cstheme="majorBidi"/>
          <w:sz w:val="24"/>
          <w:szCs w:val="24"/>
        </w:rPr>
        <w:t>The present study included 62 children, 31 children had unilateral cleft lip and palate (UCLP) and 31 matched non-cleft children. In an attempt to match the two groups, the controls were neighbors and school-mates (companions) of the UCLP children. In the UCLP group, males represented 67.7 % of the group, whereas 32.3% were females. In the non-cleft group, 64.5 % were males and 35.5% were females. Their age ranged between 4 and 9 years. The mean age was (7.35 ± 1.52 years) in UCLP children and (7.13 ± 1.52 years) in non-cleft children. No statistically significant differences between the two groups regarding gender (p=0.652) or age distribution (p=0.973).</w:t>
      </w:r>
    </w:p>
    <w:p w:rsidR="00AF0514" w:rsidRPr="00AF0514" w:rsidRDefault="00F32C94" w:rsidP="00AF0514">
      <w:pPr>
        <w:spacing w:line="480" w:lineRule="auto"/>
        <w:jc w:val="mediumKashida"/>
        <w:rPr>
          <w:rFonts w:asciiTheme="majorBidi" w:hAnsiTheme="majorBidi" w:cstheme="majorBidi"/>
          <w:sz w:val="24"/>
          <w:szCs w:val="24"/>
        </w:rPr>
      </w:pPr>
      <w:r>
        <w:rPr>
          <w:rFonts w:asciiTheme="majorBidi" w:hAnsiTheme="majorBidi" w:cstheme="majorBidi"/>
          <w:szCs w:val="28"/>
        </w:rPr>
        <w:t xml:space="preserve"> </w:t>
      </w:r>
      <w:r w:rsidR="00AF0514">
        <w:rPr>
          <w:rFonts w:asciiTheme="majorBidi" w:hAnsiTheme="majorBidi" w:cstheme="majorBidi"/>
          <w:szCs w:val="28"/>
        </w:rPr>
        <w:t xml:space="preserve">   </w:t>
      </w:r>
      <w:r w:rsidR="00AF0514">
        <w:rPr>
          <w:rFonts w:asciiTheme="majorBidi" w:hAnsiTheme="majorBidi" w:cstheme="majorBidi"/>
          <w:sz w:val="24"/>
          <w:szCs w:val="24"/>
        </w:rPr>
        <w:t xml:space="preserve">   </w:t>
      </w:r>
      <w:r w:rsidR="00AF0514">
        <w:rPr>
          <w:rFonts w:asciiTheme="majorBidi" w:hAnsiTheme="majorBidi" w:cstheme="majorBidi"/>
          <w:sz w:val="24"/>
          <w:szCs w:val="24"/>
        </w:rPr>
        <w:tab/>
      </w:r>
      <w:r w:rsidR="00AF0514" w:rsidRPr="00AF0514">
        <w:rPr>
          <w:rFonts w:asciiTheme="majorBidi" w:hAnsiTheme="majorBidi" w:cstheme="majorBidi"/>
          <w:sz w:val="24"/>
          <w:szCs w:val="24"/>
        </w:rPr>
        <w:t>Figure 2 shows the comparison between UCLP and non-cleft children regarding sagittal molar occlusion in primary dentition in age group 4-5 years.</w:t>
      </w:r>
      <w:r w:rsidR="00AF0514">
        <w:rPr>
          <w:rFonts w:asciiTheme="majorBidi" w:hAnsiTheme="majorBidi" w:cstheme="majorBidi"/>
          <w:sz w:val="24"/>
          <w:szCs w:val="24"/>
        </w:rPr>
        <w:t xml:space="preserve"> </w:t>
      </w:r>
      <w:r w:rsidR="00AF0514" w:rsidRPr="00AF0514">
        <w:rPr>
          <w:rFonts w:asciiTheme="majorBidi" w:hAnsiTheme="majorBidi" w:cstheme="majorBidi"/>
          <w:sz w:val="24"/>
          <w:szCs w:val="24"/>
        </w:rPr>
        <w:t>Straight terminal plane relationship was significantly higher in the non-cleft group (p=0.002), whereas mesial step was significantly higher in UCLP group (p=0.038).</w:t>
      </w:r>
    </w:p>
    <w:p w:rsidR="001B2EF9" w:rsidRPr="001B2EF9" w:rsidRDefault="001B2EF9" w:rsidP="001B2EF9">
      <w:pPr>
        <w:tabs>
          <w:tab w:val="left" w:pos="3568"/>
        </w:tabs>
        <w:spacing w:line="480" w:lineRule="auto"/>
        <w:jc w:val="mediumKashida"/>
        <w:rPr>
          <w:rFonts w:asciiTheme="majorBidi" w:hAnsiTheme="majorBidi" w:cstheme="majorBidi"/>
          <w:szCs w:val="28"/>
        </w:rPr>
      </w:pPr>
      <w:r>
        <w:rPr>
          <w:rFonts w:asciiTheme="majorBidi" w:hAnsiTheme="majorBidi" w:cstheme="majorBidi"/>
          <w:sz w:val="24"/>
          <w:szCs w:val="24"/>
        </w:rPr>
        <w:t xml:space="preserve">             </w:t>
      </w:r>
      <w:r w:rsidR="00AF0514">
        <w:rPr>
          <w:rFonts w:asciiTheme="majorBidi" w:hAnsiTheme="majorBidi" w:cstheme="majorBidi"/>
          <w:sz w:val="24"/>
          <w:szCs w:val="24"/>
        </w:rPr>
        <w:t>Figure 3</w:t>
      </w:r>
      <w:r w:rsidR="003B07D5" w:rsidRPr="00C87CDD">
        <w:rPr>
          <w:rFonts w:asciiTheme="majorBidi" w:hAnsiTheme="majorBidi" w:cstheme="majorBidi"/>
          <w:sz w:val="24"/>
          <w:szCs w:val="24"/>
        </w:rPr>
        <w:t xml:space="preserve"> </w:t>
      </w:r>
      <w:r w:rsidR="003B07D5" w:rsidRPr="00977B6A">
        <w:rPr>
          <w:rFonts w:asciiTheme="majorBidi" w:hAnsiTheme="majorBidi" w:cstheme="majorBidi"/>
          <w:sz w:val="24"/>
          <w:szCs w:val="24"/>
        </w:rPr>
        <w:t xml:space="preserve">shows </w:t>
      </w:r>
      <w:r w:rsidRPr="00C87CDD">
        <w:rPr>
          <w:rFonts w:asciiTheme="majorBidi" w:hAnsiTheme="majorBidi" w:cstheme="majorBidi"/>
          <w:sz w:val="24"/>
          <w:szCs w:val="24"/>
        </w:rPr>
        <w:t>the comparison</w:t>
      </w:r>
      <w:r>
        <w:rPr>
          <w:rFonts w:asciiTheme="majorBidi" w:hAnsiTheme="majorBidi" w:cstheme="majorBidi"/>
          <w:szCs w:val="28"/>
        </w:rPr>
        <w:t xml:space="preserve"> </w:t>
      </w:r>
      <w:r w:rsidRPr="001B2EF9">
        <w:rPr>
          <w:rFonts w:eastAsia="Times New Roman" w:cs="Times New Roman"/>
          <w:sz w:val="24"/>
          <w:szCs w:val="24"/>
        </w:rPr>
        <w:t xml:space="preserve">between UCLP and non-cleft children regarding sagittal permanent molar occlusion in the mixed dentition in age group 6-7 years. Class I molar relation was significantly higher in the non-cleft group (p=0.004), whereas class III molar relation was significantly higher in the UCLP group (p=0.001). </w:t>
      </w:r>
    </w:p>
    <w:p w:rsidR="003B07D5" w:rsidRPr="001B2EF9" w:rsidRDefault="001B2EF9" w:rsidP="001B2EF9">
      <w:pPr>
        <w:spacing w:line="480" w:lineRule="auto"/>
        <w:ind w:firstLine="720"/>
        <w:jc w:val="mediumKashida"/>
        <w:rPr>
          <w:rFonts w:asciiTheme="majorBidi" w:hAnsiTheme="majorBidi" w:cstheme="majorBidi"/>
          <w:sz w:val="24"/>
          <w:szCs w:val="24"/>
        </w:rPr>
      </w:pPr>
      <w:r w:rsidRPr="001B2EF9">
        <w:rPr>
          <w:rFonts w:asciiTheme="majorBidi" w:hAnsiTheme="majorBidi" w:cstheme="majorBidi"/>
          <w:sz w:val="24"/>
          <w:szCs w:val="24"/>
        </w:rPr>
        <w:t xml:space="preserve">Figure 4 shows the comparison between UCLP and non-cleft children regarding sagittal permanent molar occlusion in the mixed dentition in age group 8-9 years. Among group comparisons showed that class I molar relation was significantly higher in non-cleft group(p=0.007), whereas class III molar relation and class II molar relation were significantly higher in UCLP group (p=0.001 and 0.046 respectively). </w:t>
      </w:r>
    </w:p>
    <w:p w:rsidR="00283924" w:rsidRPr="001B2EF9" w:rsidRDefault="009D7E34" w:rsidP="001B2EF9">
      <w:pPr>
        <w:spacing w:line="480" w:lineRule="auto"/>
        <w:jc w:val="mediumKashida"/>
        <w:rPr>
          <w:rFonts w:asciiTheme="majorBidi" w:hAnsiTheme="majorBidi" w:cstheme="majorBidi"/>
          <w:sz w:val="24"/>
          <w:szCs w:val="24"/>
        </w:rPr>
      </w:pPr>
      <w:r>
        <w:rPr>
          <w:rFonts w:asciiTheme="majorBidi" w:hAnsiTheme="majorBidi" w:cstheme="majorBidi"/>
          <w:sz w:val="24"/>
          <w:szCs w:val="24"/>
        </w:rPr>
        <w:t xml:space="preserve">        </w:t>
      </w:r>
      <w:r w:rsidR="008E39C4">
        <w:rPr>
          <w:rFonts w:asciiTheme="majorBidi" w:hAnsiTheme="majorBidi" w:cstheme="majorBidi"/>
          <w:sz w:val="24"/>
          <w:szCs w:val="24"/>
        </w:rPr>
        <w:t xml:space="preserve">  </w:t>
      </w:r>
      <w:r w:rsidRPr="008E39C4">
        <w:rPr>
          <w:rFonts w:asciiTheme="majorBidi" w:hAnsiTheme="majorBidi" w:cstheme="majorBidi"/>
          <w:sz w:val="24"/>
          <w:szCs w:val="24"/>
        </w:rPr>
        <w:t>Regarding sagittal canine occlusion in primary dentition in age group 4-5 years; among group comparisons showed that class I cuspid relation was significantly higher in non-cleft group (p=0.002), whereas class III cuspid relation significantly predominated in the UCLP group (p=0.002).</w:t>
      </w:r>
      <w:r w:rsidRPr="008E39C4">
        <w:rPr>
          <w:rFonts w:asciiTheme="majorBidi" w:hAnsiTheme="majorBidi" w:cstheme="majorBidi"/>
          <w:b/>
          <w:bCs/>
          <w:sz w:val="24"/>
          <w:szCs w:val="24"/>
        </w:rPr>
        <w:t xml:space="preserve"> </w:t>
      </w:r>
      <w:r w:rsidR="008E39C4">
        <w:rPr>
          <w:rFonts w:asciiTheme="majorBidi" w:hAnsiTheme="majorBidi" w:cstheme="majorBidi"/>
          <w:sz w:val="24"/>
          <w:szCs w:val="24"/>
        </w:rPr>
        <w:t xml:space="preserve">As for </w:t>
      </w:r>
      <w:r w:rsidRPr="008E39C4">
        <w:rPr>
          <w:rFonts w:asciiTheme="majorBidi" w:hAnsiTheme="majorBidi" w:cstheme="majorBidi"/>
          <w:sz w:val="24"/>
          <w:szCs w:val="24"/>
        </w:rPr>
        <w:t xml:space="preserve">sagittal canine occlusion in the mixed dentition in age group 6-7 </w:t>
      </w:r>
      <w:r w:rsidR="008E39C4" w:rsidRPr="008E39C4">
        <w:rPr>
          <w:rFonts w:asciiTheme="majorBidi" w:hAnsiTheme="majorBidi" w:cstheme="majorBidi"/>
          <w:sz w:val="24"/>
          <w:szCs w:val="24"/>
        </w:rPr>
        <w:t xml:space="preserve">and 8-9 </w:t>
      </w:r>
      <w:r w:rsidRPr="008E39C4">
        <w:rPr>
          <w:rFonts w:asciiTheme="majorBidi" w:hAnsiTheme="majorBidi" w:cstheme="majorBidi"/>
          <w:sz w:val="24"/>
          <w:szCs w:val="24"/>
        </w:rPr>
        <w:t>years</w:t>
      </w:r>
      <w:r w:rsidR="008E39C4" w:rsidRPr="008E39C4">
        <w:rPr>
          <w:sz w:val="24"/>
          <w:szCs w:val="24"/>
        </w:rPr>
        <w:t xml:space="preserve">; </w:t>
      </w:r>
      <w:r w:rsidR="008E39C4" w:rsidRPr="008E39C4">
        <w:rPr>
          <w:rFonts w:asciiTheme="majorBidi" w:hAnsiTheme="majorBidi" w:cstheme="majorBidi"/>
          <w:sz w:val="24"/>
          <w:szCs w:val="24"/>
        </w:rPr>
        <w:t>a</w:t>
      </w:r>
      <w:r w:rsidRPr="008E39C4">
        <w:rPr>
          <w:rFonts w:asciiTheme="majorBidi" w:hAnsiTheme="majorBidi" w:cstheme="majorBidi"/>
          <w:sz w:val="24"/>
          <w:szCs w:val="24"/>
        </w:rPr>
        <w:t>mong group comparisons showed that class I cuspid relation was significantly higher in non-cleft group (p=0.001), whereas class III cuspid relation was significantly higher in UCLP group (p=0.001).</w:t>
      </w:r>
    </w:p>
    <w:p w:rsidR="00786755" w:rsidRDefault="007B29B6" w:rsidP="00C87CDD">
      <w:pPr>
        <w:spacing w:line="480" w:lineRule="auto"/>
        <w:ind w:firstLine="720"/>
        <w:jc w:val="mediumKashida"/>
        <w:rPr>
          <w:rFonts w:asciiTheme="majorBidi" w:hAnsiTheme="majorBidi" w:cstheme="majorBidi"/>
          <w:sz w:val="24"/>
          <w:szCs w:val="24"/>
        </w:rPr>
      </w:pPr>
      <w:r>
        <w:rPr>
          <w:rFonts w:asciiTheme="majorBidi" w:hAnsiTheme="majorBidi" w:cstheme="majorBidi"/>
          <w:sz w:val="24"/>
          <w:szCs w:val="24"/>
        </w:rPr>
        <w:t>Table 2</w:t>
      </w:r>
      <w:r w:rsidR="00173251" w:rsidRPr="00173251">
        <w:rPr>
          <w:rFonts w:asciiTheme="majorBidi" w:hAnsiTheme="majorBidi" w:cstheme="majorBidi"/>
          <w:sz w:val="24"/>
          <w:szCs w:val="24"/>
        </w:rPr>
        <w:t xml:space="preserve"> shows the comparisons between the UCLP and non-cleft groups with respect to modified Huddart/Bodenham scores for central incisors, canines and molars in the age group of 4-5 years. </w:t>
      </w:r>
      <w:r w:rsidR="00786755">
        <w:rPr>
          <w:rFonts w:asciiTheme="majorBidi" w:hAnsiTheme="majorBidi" w:cstheme="majorBidi"/>
          <w:sz w:val="24"/>
          <w:szCs w:val="24"/>
        </w:rPr>
        <w:t>In this age group,</w:t>
      </w:r>
      <w:r w:rsidR="00173251" w:rsidRPr="00173251">
        <w:rPr>
          <w:sz w:val="24"/>
          <w:szCs w:val="20"/>
        </w:rPr>
        <w:t xml:space="preserve"> </w:t>
      </w:r>
      <w:r w:rsidR="00786755">
        <w:rPr>
          <w:rFonts w:asciiTheme="majorBidi" w:hAnsiTheme="majorBidi" w:cstheme="majorBidi"/>
          <w:sz w:val="24"/>
          <w:szCs w:val="24"/>
        </w:rPr>
        <w:t>t</w:t>
      </w:r>
      <w:r w:rsidR="00173251" w:rsidRPr="00173251">
        <w:rPr>
          <w:rFonts w:asciiTheme="majorBidi" w:hAnsiTheme="majorBidi" w:cstheme="majorBidi"/>
          <w:sz w:val="24"/>
          <w:szCs w:val="24"/>
        </w:rPr>
        <w:t>he mean total arch constriction score was</w:t>
      </w:r>
      <w:r w:rsidR="00173251">
        <w:rPr>
          <w:rFonts w:asciiTheme="majorBidi" w:hAnsiTheme="majorBidi" w:cstheme="majorBidi"/>
          <w:sz w:val="24"/>
          <w:szCs w:val="24"/>
        </w:rPr>
        <w:t xml:space="preserve"> </w:t>
      </w:r>
      <w:r w:rsidR="00173251" w:rsidRPr="00173251">
        <w:rPr>
          <w:rFonts w:asciiTheme="majorBidi" w:hAnsiTheme="majorBidi" w:cstheme="majorBidi"/>
          <w:sz w:val="24"/>
          <w:szCs w:val="24"/>
        </w:rPr>
        <w:t>-6.40±9.45 in UCLP children which was not statistically significant from that of non-cleft group (p=0.216).</w:t>
      </w:r>
    </w:p>
    <w:p w:rsidR="00786755" w:rsidRPr="008E2F73" w:rsidRDefault="007B29B6" w:rsidP="008E2F73">
      <w:pPr>
        <w:spacing w:line="480" w:lineRule="auto"/>
        <w:ind w:firstLine="720"/>
        <w:jc w:val="lowKashida"/>
        <w:rPr>
          <w:rFonts w:asciiTheme="majorBidi" w:hAnsiTheme="majorBidi" w:cstheme="majorBidi"/>
          <w:sz w:val="24"/>
          <w:szCs w:val="24"/>
        </w:rPr>
      </w:pPr>
      <w:r>
        <w:rPr>
          <w:rFonts w:asciiTheme="majorBidi" w:hAnsiTheme="majorBidi" w:cstheme="majorBidi"/>
          <w:sz w:val="24"/>
          <w:szCs w:val="24"/>
        </w:rPr>
        <w:t>Table 3</w:t>
      </w:r>
      <w:r w:rsidR="00786755" w:rsidRPr="00786755">
        <w:rPr>
          <w:rFonts w:asciiTheme="majorBidi" w:hAnsiTheme="majorBidi" w:cstheme="majorBidi"/>
          <w:sz w:val="24"/>
          <w:szCs w:val="24"/>
        </w:rPr>
        <w:t xml:space="preserve"> shows the comparisons between UCLP and non-cleft groups with respect to modified Huddart/Bodenham scores for central incisors, canines and molars in the age group of 6-7 years. The modified Huddart/Bodenham scores were noticeably more negative in the UCLP group. The mean to</w:t>
      </w:r>
      <w:r w:rsidR="00C87CDD">
        <w:rPr>
          <w:rFonts w:asciiTheme="majorBidi" w:hAnsiTheme="majorBidi" w:cstheme="majorBidi"/>
          <w:sz w:val="24"/>
          <w:szCs w:val="24"/>
        </w:rPr>
        <w:t>tal arch constriction score was -</w:t>
      </w:r>
      <w:r w:rsidR="00786755" w:rsidRPr="00786755">
        <w:rPr>
          <w:rFonts w:asciiTheme="majorBidi" w:hAnsiTheme="majorBidi" w:cstheme="majorBidi"/>
          <w:sz w:val="24"/>
          <w:szCs w:val="24"/>
        </w:rPr>
        <w:t>14.91±6.28 for the 6-7 years UCLP group and had distinctively more negative value than that of non-cleft group.  The difference between groups w</w:t>
      </w:r>
      <w:r w:rsidR="001B2EF9">
        <w:rPr>
          <w:rFonts w:asciiTheme="majorBidi" w:hAnsiTheme="majorBidi" w:cstheme="majorBidi"/>
          <w:sz w:val="24"/>
          <w:szCs w:val="24"/>
        </w:rPr>
        <w:t>as highly significant (p=0.001)</w:t>
      </w:r>
      <w:r w:rsidR="00C87CDD">
        <w:rPr>
          <w:rFonts w:asciiTheme="majorBidi" w:hAnsiTheme="majorBidi" w:cstheme="majorBidi"/>
          <w:sz w:val="24"/>
          <w:szCs w:val="24"/>
        </w:rPr>
        <w:t>.</w:t>
      </w:r>
    </w:p>
    <w:p w:rsidR="00572ECC" w:rsidRPr="00C87CDD" w:rsidRDefault="007B29B6" w:rsidP="00C87CDD">
      <w:pPr>
        <w:spacing w:line="480" w:lineRule="auto"/>
        <w:ind w:firstLine="720"/>
        <w:jc w:val="mediumKashida"/>
        <w:rPr>
          <w:rFonts w:asciiTheme="majorBidi" w:hAnsiTheme="majorBidi" w:cstheme="majorBidi"/>
          <w:sz w:val="24"/>
          <w:szCs w:val="24"/>
        </w:rPr>
      </w:pPr>
      <w:r>
        <w:rPr>
          <w:rFonts w:asciiTheme="majorBidi" w:hAnsiTheme="majorBidi" w:cstheme="majorBidi"/>
          <w:sz w:val="24"/>
          <w:szCs w:val="24"/>
        </w:rPr>
        <w:t>Table 4</w:t>
      </w:r>
      <w:r w:rsidR="00572ECC" w:rsidRPr="00C87CDD">
        <w:rPr>
          <w:rFonts w:asciiTheme="majorBidi" w:hAnsiTheme="majorBidi" w:cstheme="majorBidi"/>
          <w:sz w:val="24"/>
          <w:szCs w:val="24"/>
        </w:rPr>
        <w:t xml:space="preserve"> shows the comparisons between UCLP and non-cleft groups with respect to modified Huddart/Bodenham scores for central incisors, canines and molars in the age group of 8-9 years. The mean total arch constriction score was -10.64±8.01 for 8-9 years UCLP group, and had distinctively more negative values than that of non-cleft group. The difference between groups was highly significant (p=0.001).</w:t>
      </w:r>
    </w:p>
    <w:p w:rsidR="00572ECC" w:rsidRDefault="00572ECC" w:rsidP="00572ECC">
      <w:pPr>
        <w:spacing w:line="480" w:lineRule="auto"/>
        <w:ind w:firstLine="720"/>
        <w:jc w:val="mediumKashida"/>
        <w:rPr>
          <w:rFonts w:asciiTheme="majorBidi" w:hAnsiTheme="majorBidi" w:cstheme="majorBidi"/>
          <w:szCs w:val="28"/>
        </w:rPr>
      </w:pPr>
    </w:p>
    <w:p w:rsidR="00572ECC" w:rsidRDefault="00572ECC" w:rsidP="009A0BD7">
      <w:pPr>
        <w:spacing w:line="480" w:lineRule="auto"/>
        <w:jc w:val="mediumKashida"/>
        <w:rPr>
          <w:b/>
          <w:bCs/>
          <w:sz w:val="24"/>
          <w:szCs w:val="20"/>
        </w:rPr>
      </w:pPr>
      <w:r w:rsidRPr="00572ECC">
        <w:rPr>
          <w:b/>
          <w:bCs/>
          <w:sz w:val="24"/>
          <w:szCs w:val="20"/>
        </w:rPr>
        <w:t>Discussion</w:t>
      </w:r>
    </w:p>
    <w:p w:rsidR="00572ECC" w:rsidRPr="00572ECC" w:rsidRDefault="00572ECC" w:rsidP="00C87CDD">
      <w:pPr>
        <w:spacing w:before="24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Children with unilateral cleft lip and palate (UCLP) usually suffer from deficiency in growth of the naso-maxillary complex due to tissue deficiency, scar tissue formation after early reconstructive surgery and inherent growth retardation. Maxillary dental arch development is also retarded due to the naso-maxillary complex deficiency </w:t>
      </w:r>
      <w:r w:rsidR="001A713E">
        <w:rPr>
          <w:rFonts w:asciiTheme="majorBidi" w:hAnsiTheme="majorBidi" w:cstheme="majorBidi"/>
          <w:sz w:val="24"/>
          <w:szCs w:val="24"/>
          <w:vertAlign w:val="superscript"/>
        </w:rPr>
        <w:t>(</w:t>
      </w:r>
      <w:r w:rsidR="007B29B6">
        <w:rPr>
          <w:rFonts w:asciiTheme="majorBidi" w:hAnsiTheme="majorBidi" w:cstheme="majorBidi"/>
          <w:sz w:val="24"/>
          <w:szCs w:val="24"/>
          <w:vertAlign w:val="superscript"/>
        </w:rPr>
        <w:t>13</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w:t>
      </w:r>
    </w:p>
    <w:p w:rsidR="00572ECC" w:rsidRPr="00572ECC" w:rsidRDefault="00572ECC" w:rsidP="00572ECC">
      <w:pPr>
        <w:spacing w:line="480" w:lineRule="auto"/>
        <w:ind w:firstLine="720"/>
        <w:jc w:val="mediumKashida"/>
        <w:rPr>
          <w:sz w:val="24"/>
          <w:szCs w:val="20"/>
        </w:rPr>
      </w:pPr>
      <w:r w:rsidRPr="00572ECC">
        <w:rPr>
          <w:rFonts w:asciiTheme="majorBidi" w:hAnsiTheme="majorBidi" w:cstheme="majorBidi"/>
          <w:sz w:val="24"/>
          <w:szCs w:val="24"/>
        </w:rPr>
        <w:t xml:space="preserve">The surgical outcomes for the early repair of UCLP are highly variable and this can be attributed to several factors </w:t>
      </w:r>
      <w:r w:rsidR="007B29B6">
        <w:rPr>
          <w:rFonts w:asciiTheme="majorBidi" w:hAnsiTheme="majorBidi" w:cstheme="majorBidi"/>
          <w:sz w:val="24"/>
          <w:szCs w:val="24"/>
          <w:vertAlign w:val="superscript"/>
        </w:rPr>
        <w:t>(36</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This fact, in addition to scarcity of data available in Egypt regarding early outcome assessment initiated this descriptive study to establish baseline information for the pediatric dentists to improve the standards of care available to this vulnerable group of children. </w:t>
      </w:r>
    </w:p>
    <w:p w:rsidR="00572ECC" w:rsidRPr="00572ECC" w:rsidRDefault="00572ECC" w:rsidP="00572ECC">
      <w:pPr>
        <w:spacing w:before="24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In the present study, UCLP children were divided into three critical age periods; namely primary dentition (4-5 years), early mixed dentition (6-7 years) and late mixed dentition (8-9 years). Among these age groups, different preventive and interceptive orthodontic interventions have been reported to improve the dental arch dimensions and occlusion for UCLP children </w:t>
      </w:r>
      <w:r w:rsidR="007B29B6">
        <w:rPr>
          <w:rFonts w:asciiTheme="majorBidi" w:hAnsiTheme="majorBidi" w:cstheme="majorBidi"/>
          <w:sz w:val="24"/>
          <w:szCs w:val="24"/>
          <w:vertAlign w:val="superscript"/>
        </w:rPr>
        <w:t>(36</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w:t>
      </w:r>
    </w:p>
    <w:p w:rsidR="00572ECC" w:rsidRPr="00572ECC" w:rsidRDefault="00572ECC" w:rsidP="00572ECC">
      <w:pPr>
        <w:spacing w:before="24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A total of thirty one UCLP children (21 males and 10 females) with an age range 4-9 years were included. The mean age scores were 7.35 ± </w:t>
      </w:r>
      <w:r w:rsidRPr="007B29B6">
        <w:rPr>
          <w:rFonts w:asciiTheme="majorBidi" w:hAnsiTheme="majorBidi" w:cstheme="majorBidi"/>
          <w:sz w:val="24"/>
          <w:szCs w:val="24"/>
        </w:rPr>
        <w:t>1.52 years</w:t>
      </w:r>
      <w:r w:rsidRPr="00572ECC">
        <w:rPr>
          <w:rFonts w:asciiTheme="majorBidi" w:hAnsiTheme="majorBidi" w:cstheme="majorBidi"/>
          <w:sz w:val="24"/>
          <w:szCs w:val="24"/>
        </w:rPr>
        <w:t xml:space="preserve"> in UCLP children and 7.13 ± 1.52 years in non-cleft children. Males and females were pooled together the same way as in the normative data. </w:t>
      </w:r>
    </w:p>
    <w:p w:rsidR="00572ECC" w:rsidRPr="00572ECC" w:rsidRDefault="00572ECC" w:rsidP="00851501">
      <w:pPr>
        <w:autoSpaceDE w:val="0"/>
        <w:autoSpaceDN w:val="0"/>
        <w:adjustRightInd w:val="0"/>
        <w:spacing w:before="20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Since there are racial differences in development of dental arch and growth patterns, as stated by Lavelle 1975 </w:t>
      </w:r>
      <w:r w:rsidR="00BD5298">
        <w:rPr>
          <w:rFonts w:asciiTheme="majorBidi" w:hAnsiTheme="majorBidi" w:cstheme="majorBidi"/>
          <w:sz w:val="24"/>
          <w:szCs w:val="24"/>
          <w:vertAlign w:val="superscript"/>
        </w:rPr>
        <w:t>(37</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selection of matching control population to neutralize this variable is needed. Accordingly, the current study included a comparable sample of healthy matching non-cleft children. This could be considered a point of strength that distinguishes the present study from other studies, such as Sandy et al in 1998 </w:t>
      </w:r>
      <w:r w:rsidR="00BD5298">
        <w:rPr>
          <w:rFonts w:asciiTheme="majorBidi" w:hAnsiTheme="majorBidi" w:cstheme="majorBidi"/>
          <w:sz w:val="24"/>
          <w:szCs w:val="24"/>
          <w:vertAlign w:val="superscript"/>
        </w:rPr>
        <w:t>(38</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Alam et al in 2008 </w:t>
      </w:r>
      <w:r w:rsidR="00BD5298">
        <w:rPr>
          <w:rFonts w:asciiTheme="majorBidi" w:hAnsiTheme="majorBidi" w:cstheme="majorBidi"/>
          <w:sz w:val="24"/>
          <w:szCs w:val="24"/>
          <w:vertAlign w:val="superscript"/>
        </w:rPr>
        <w:t>(39</w:t>
      </w:r>
      <w:r w:rsidRPr="00572ECC">
        <w:rPr>
          <w:rFonts w:asciiTheme="majorBidi" w:hAnsiTheme="majorBidi" w:cstheme="majorBidi"/>
          <w:sz w:val="24"/>
          <w:szCs w:val="24"/>
          <w:vertAlign w:val="superscript"/>
        </w:rPr>
        <w:t xml:space="preserve">) </w:t>
      </w:r>
      <w:r w:rsidRPr="00572ECC">
        <w:rPr>
          <w:rFonts w:asciiTheme="majorBidi" w:hAnsiTheme="majorBidi" w:cstheme="majorBidi"/>
          <w:sz w:val="24"/>
          <w:szCs w:val="24"/>
        </w:rPr>
        <w:t xml:space="preserve">and Fudalej P et al in 2009 </w:t>
      </w:r>
      <w:r w:rsidRPr="00572ECC">
        <w:rPr>
          <w:rFonts w:asciiTheme="majorBidi" w:hAnsiTheme="majorBidi" w:cstheme="majorBidi"/>
          <w:sz w:val="24"/>
          <w:szCs w:val="24"/>
          <w:vertAlign w:val="superscript"/>
        </w:rPr>
        <w:t>(</w:t>
      </w:r>
      <w:r w:rsidR="00851501">
        <w:rPr>
          <w:rFonts w:asciiTheme="majorBidi" w:hAnsiTheme="majorBidi" w:cstheme="majorBidi"/>
          <w:sz w:val="24"/>
          <w:szCs w:val="24"/>
          <w:vertAlign w:val="superscript"/>
        </w:rPr>
        <w:t>22</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The mentioned studies </w:t>
      </w:r>
      <w:r w:rsidRPr="00572ECC">
        <w:rPr>
          <w:rFonts w:asciiTheme="majorBidi" w:hAnsiTheme="majorBidi" w:cstheme="majorBidi"/>
          <w:sz w:val="24"/>
          <w:szCs w:val="24"/>
          <w:vertAlign w:val="superscript"/>
        </w:rPr>
        <w:t>(</w:t>
      </w:r>
      <w:r w:rsidR="00851501">
        <w:rPr>
          <w:rFonts w:asciiTheme="majorBidi" w:hAnsiTheme="majorBidi" w:cstheme="majorBidi"/>
          <w:sz w:val="24"/>
          <w:szCs w:val="24"/>
          <w:vertAlign w:val="superscript"/>
        </w:rPr>
        <w:t>22, 37-39</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used the </w:t>
      </w:r>
      <w:r w:rsidRPr="00572ECC">
        <w:rPr>
          <w:rFonts w:asciiTheme="majorBidi" w:hAnsiTheme="majorBidi" w:cstheme="majorBidi"/>
          <w:i/>
          <w:iCs/>
          <w:sz w:val="24"/>
          <w:szCs w:val="24"/>
        </w:rPr>
        <w:t>Five-Year-Old and Great Ormond Street, London and Oslo (Goslon) indices of dental arch deformity</w:t>
      </w:r>
      <w:r w:rsidRPr="00572ECC">
        <w:rPr>
          <w:rFonts w:asciiTheme="majorBidi" w:hAnsiTheme="majorBidi" w:cstheme="majorBidi"/>
          <w:sz w:val="24"/>
          <w:szCs w:val="24"/>
        </w:rPr>
        <w:t xml:space="preserve"> in examining early surgical outcomes in UCLP children. However, neither of these qualitative indices compares dental arch relationship with non-cleft data. </w:t>
      </w:r>
    </w:p>
    <w:p w:rsidR="00572ECC" w:rsidRPr="00572ECC" w:rsidRDefault="00572ECC" w:rsidP="002A1FD9">
      <w:pPr>
        <w:spacing w:before="24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In the current study, dental arch relationship was scored using </w:t>
      </w:r>
      <w:r w:rsidRPr="00572ECC">
        <w:rPr>
          <w:rFonts w:asciiTheme="majorBidi" w:hAnsiTheme="majorBidi" w:cstheme="majorBidi"/>
          <w:i/>
          <w:iCs/>
          <w:sz w:val="24"/>
          <w:szCs w:val="24"/>
        </w:rPr>
        <w:t>modified Huddart/Bodenham index</w:t>
      </w:r>
      <w:r w:rsidRPr="00572ECC">
        <w:rPr>
          <w:rFonts w:asciiTheme="majorBidi" w:hAnsiTheme="majorBidi" w:cstheme="majorBidi"/>
          <w:sz w:val="24"/>
          <w:szCs w:val="24"/>
        </w:rPr>
        <w:t xml:space="preserve"> because it is more objective, reliable, and more sensitive to inter-arch discrepancies than the </w:t>
      </w:r>
      <w:r w:rsidRPr="00572ECC">
        <w:rPr>
          <w:rFonts w:asciiTheme="majorBidi" w:hAnsiTheme="majorBidi" w:cstheme="majorBidi"/>
          <w:i/>
          <w:iCs/>
          <w:sz w:val="24"/>
          <w:szCs w:val="24"/>
        </w:rPr>
        <w:t>Five-Year-Old</w:t>
      </w:r>
      <w:r w:rsidRPr="00572ECC">
        <w:rPr>
          <w:rFonts w:asciiTheme="majorBidi" w:hAnsiTheme="majorBidi" w:cstheme="majorBidi"/>
          <w:sz w:val="24"/>
          <w:szCs w:val="24"/>
        </w:rPr>
        <w:t xml:space="preserve"> and </w:t>
      </w:r>
      <w:r w:rsidRPr="00572ECC">
        <w:rPr>
          <w:rFonts w:asciiTheme="majorBidi" w:hAnsiTheme="majorBidi" w:cstheme="majorBidi"/>
          <w:i/>
          <w:iCs/>
          <w:sz w:val="24"/>
          <w:szCs w:val="24"/>
        </w:rPr>
        <w:t>Goslon</w:t>
      </w:r>
      <w:r w:rsidRPr="00572ECC">
        <w:rPr>
          <w:rFonts w:asciiTheme="majorBidi" w:hAnsiTheme="majorBidi" w:cstheme="majorBidi"/>
          <w:sz w:val="24"/>
          <w:szCs w:val="24"/>
        </w:rPr>
        <w:t xml:space="preserve"> indices as was reported by </w:t>
      </w:r>
      <w:r w:rsidRPr="00572ECC">
        <w:rPr>
          <w:rFonts w:ascii="TimesNewRoman" w:hAnsi="TimesNewRoman" w:cs="TimesNewRoman"/>
          <w:sz w:val="26"/>
          <w:szCs w:val="32"/>
        </w:rPr>
        <w:t>Mossey et al in 2003</w:t>
      </w:r>
      <w:r w:rsidRPr="00572ECC">
        <w:rPr>
          <w:rFonts w:asciiTheme="majorBidi" w:hAnsiTheme="majorBidi" w:cstheme="majorBidi"/>
          <w:sz w:val="24"/>
          <w:szCs w:val="24"/>
        </w:rPr>
        <w:t xml:space="preserve"> </w:t>
      </w:r>
      <w:r w:rsidR="002A1FD9">
        <w:rPr>
          <w:rFonts w:asciiTheme="majorBidi" w:hAnsiTheme="majorBidi" w:cstheme="majorBidi"/>
          <w:sz w:val="24"/>
          <w:szCs w:val="24"/>
          <w:vertAlign w:val="superscript"/>
        </w:rPr>
        <w:t>(29</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Furthermore, the severity of the cross-bite which is also taken into account is easier to assess statistically </w:t>
      </w:r>
      <w:r w:rsidRPr="00572ECC">
        <w:rPr>
          <w:rFonts w:asciiTheme="majorBidi" w:hAnsiTheme="majorBidi" w:cstheme="majorBidi"/>
          <w:sz w:val="24"/>
          <w:szCs w:val="24"/>
          <w:vertAlign w:val="superscript"/>
        </w:rPr>
        <w:t>(</w:t>
      </w:r>
      <w:r w:rsidR="002A1FD9">
        <w:rPr>
          <w:rFonts w:asciiTheme="majorBidi" w:hAnsiTheme="majorBidi" w:cstheme="majorBidi"/>
          <w:sz w:val="24"/>
          <w:szCs w:val="24"/>
          <w:vertAlign w:val="superscript"/>
        </w:rPr>
        <w:t>29, 40</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w:t>
      </w:r>
    </w:p>
    <w:p w:rsidR="00572ECC" w:rsidRPr="00572ECC" w:rsidRDefault="00572ECC" w:rsidP="00572ECC">
      <w:pPr>
        <w:spacing w:before="24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As regards the sagittal molar and canine occlusion, the results revealed a predilection for most of UCLP children in all age groups to have mesial step terminal plane in primary dentition, class III permanent molar relation in mixed dentition and class III cuspid relations. This finding was statistically significant compared to non-cleft children who mostly exhibited flush terminal plane in primary dentition, class I permanent molar relation in mixed dentition and class I cuspid relation. This is probably due to the deficiency in maxillary dental arch in UCLP children. However, there were few exceptions in each age that happened to have distal step terminal plane or Class II permanent molar and cuspid relations. Skeletally developing class II which is genetically inherited or mesial migration of upper permanent molars due to congenitally missing teeth could be the main causes of these exceptions. </w:t>
      </w:r>
    </w:p>
    <w:p w:rsidR="00572ECC" w:rsidRPr="00572ECC" w:rsidRDefault="00572ECC" w:rsidP="002A1FD9">
      <w:pPr>
        <w:spacing w:before="24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In the present study, the </w:t>
      </w:r>
      <w:r w:rsidRPr="00572ECC">
        <w:rPr>
          <w:rFonts w:asciiTheme="majorBidi" w:hAnsiTheme="majorBidi" w:cstheme="majorBidi"/>
          <w:i/>
          <w:iCs/>
          <w:sz w:val="24"/>
          <w:szCs w:val="24"/>
        </w:rPr>
        <w:t>Modified Huddart/Bodenham index</w:t>
      </w:r>
      <w:r w:rsidRPr="00572ECC">
        <w:rPr>
          <w:rFonts w:asciiTheme="majorBidi" w:hAnsiTheme="majorBidi" w:cstheme="majorBidi"/>
          <w:sz w:val="24"/>
          <w:szCs w:val="24"/>
        </w:rPr>
        <w:t xml:space="preserve"> analyzed the transverse dental occlusion and the results were in accordance with transverse distance measurements between canines and molars. In the age group 4-5 years, the </w:t>
      </w:r>
      <w:r w:rsidRPr="00572ECC">
        <w:rPr>
          <w:rFonts w:asciiTheme="majorBidi" w:hAnsiTheme="majorBidi" w:cstheme="majorBidi"/>
          <w:i/>
          <w:iCs/>
          <w:sz w:val="24"/>
          <w:szCs w:val="24"/>
        </w:rPr>
        <w:t>modified Huddart/Bodenham</w:t>
      </w:r>
      <w:r w:rsidRPr="00572ECC">
        <w:rPr>
          <w:rFonts w:asciiTheme="majorBidi" w:hAnsiTheme="majorBidi" w:cstheme="majorBidi"/>
          <w:sz w:val="24"/>
          <w:szCs w:val="24"/>
        </w:rPr>
        <w:t xml:space="preserve"> score was only significantly different for the central incisors and canines. The mean total arch constriction score was </w:t>
      </w:r>
      <w:r w:rsidRPr="00572ECC">
        <w:rPr>
          <w:rFonts w:asciiTheme="majorBidi" w:eastAsia="Times New Roman" w:hAnsiTheme="majorBidi" w:cstheme="majorBidi"/>
          <w:color w:val="000000"/>
          <w:sz w:val="24"/>
          <w:szCs w:val="24"/>
        </w:rPr>
        <w:t>-6.40; however it was not significantly different from that of non-cleft group</w:t>
      </w:r>
      <w:r w:rsidRPr="00572ECC">
        <w:rPr>
          <w:rFonts w:asciiTheme="majorBidi" w:hAnsiTheme="majorBidi" w:cstheme="majorBidi"/>
          <w:sz w:val="24"/>
          <w:szCs w:val="24"/>
        </w:rPr>
        <w:t xml:space="preserve">. In the older age groups, 6-7 years and 8-9 years, the </w:t>
      </w:r>
      <w:r w:rsidRPr="00572ECC">
        <w:rPr>
          <w:rFonts w:asciiTheme="majorBidi" w:hAnsiTheme="majorBidi" w:cstheme="majorBidi"/>
          <w:i/>
          <w:iCs/>
          <w:sz w:val="24"/>
          <w:szCs w:val="24"/>
        </w:rPr>
        <w:t>modified Huddart/Bodenham</w:t>
      </w:r>
      <w:r w:rsidRPr="00572ECC">
        <w:rPr>
          <w:rFonts w:asciiTheme="majorBidi" w:hAnsiTheme="majorBidi" w:cstheme="majorBidi"/>
          <w:sz w:val="24"/>
          <w:szCs w:val="24"/>
        </w:rPr>
        <w:t xml:space="preserve"> score was significantly different for all measured teeth and the mean total arch constriction scores were more negative and significantly higher than in the non-cleft groups. These findings agree with the results reported in earlier studies performed by Garrahy et al in 2005 </w:t>
      </w:r>
      <w:r w:rsidRPr="00572ECC">
        <w:rPr>
          <w:rFonts w:asciiTheme="majorBidi" w:hAnsiTheme="majorBidi" w:cstheme="majorBidi"/>
          <w:sz w:val="24"/>
          <w:szCs w:val="24"/>
          <w:vertAlign w:val="superscript"/>
        </w:rPr>
        <w:t>(</w:t>
      </w:r>
      <w:r w:rsidR="002A1FD9">
        <w:rPr>
          <w:rFonts w:asciiTheme="majorBidi" w:hAnsiTheme="majorBidi" w:cstheme="majorBidi"/>
          <w:sz w:val="24"/>
          <w:szCs w:val="24"/>
          <w:vertAlign w:val="superscript"/>
        </w:rPr>
        <w:t>17</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and Stein et al in 2007 </w:t>
      </w:r>
      <w:r w:rsidRPr="00572ECC">
        <w:rPr>
          <w:rFonts w:asciiTheme="majorBidi" w:hAnsiTheme="majorBidi" w:cstheme="majorBidi"/>
          <w:sz w:val="24"/>
          <w:szCs w:val="24"/>
          <w:vertAlign w:val="superscript"/>
        </w:rPr>
        <w:t>(</w:t>
      </w:r>
      <w:r w:rsidR="002A1FD9">
        <w:rPr>
          <w:rFonts w:asciiTheme="majorBidi" w:hAnsiTheme="majorBidi" w:cstheme="majorBidi"/>
          <w:sz w:val="24"/>
          <w:szCs w:val="24"/>
          <w:vertAlign w:val="superscript"/>
        </w:rPr>
        <w:t>41</w:t>
      </w:r>
      <w:r w:rsidRPr="00572ECC">
        <w:rPr>
          <w:rFonts w:asciiTheme="majorBidi" w:hAnsiTheme="majorBidi" w:cstheme="majorBidi"/>
          <w:sz w:val="24"/>
          <w:szCs w:val="24"/>
          <w:vertAlign w:val="superscript"/>
        </w:rPr>
        <w:t>)</w:t>
      </w:r>
      <w:r w:rsidRPr="00572ECC">
        <w:rPr>
          <w:rFonts w:asciiTheme="majorBidi" w:hAnsiTheme="majorBidi" w:cstheme="majorBidi"/>
          <w:sz w:val="24"/>
          <w:szCs w:val="24"/>
        </w:rPr>
        <w:t xml:space="preserve">. </w:t>
      </w:r>
    </w:p>
    <w:p w:rsidR="00572ECC" w:rsidRDefault="00572ECC" w:rsidP="001A713E">
      <w:pPr>
        <w:spacing w:before="240" w:line="480" w:lineRule="auto"/>
        <w:ind w:firstLine="720"/>
        <w:jc w:val="mediumKashida"/>
        <w:rPr>
          <w:rFonts w:asciiTheme="majorBidi" w:hAnsiTheme="majorBidi" w:cstheme="majorBidi"/>
          <w:sz w:val="24"/>
          <w:szCs w:val="24"/>
        </w:rPr>
      </w:pPr>
      <w:r w:rsidRPr="00572ECC">
        <w:rPr>
          <w:rFonts w:asciiTheme="majorBidi" w:hAnsiTheme="majorBidi" w:cstheme="majorBidi"/>
          <w:sz w:val="24"/>
          <w:szCs w:val="24"/>
        </w:rPr>
        <w:t xml:space="preserve">Considering the finding that </w:t>
      </w:r>
      <w:r w:rsidRPr="00572ECC">
        <w:rPr>
          <w:rFonts w:asciiTheme="majorBidi" w:hAnsiTheme="majorBidi" w:cstheme="majorBidi"/>
          <w:i/>
          <w:iCs/>
          <w:sz w:val="24"/>
          <w:szCs w:val="24"/>
        </w:rPr>
        <w:t>modified Huddart/Bodenham</w:t>
      </w:r>
      <w:r w:rsidRPr="00572ECC">
        <w:rPr>
          <w:rFonts w:asciiTheme="majorBidi" w:hAnsiTheme="majorBidi" w:cstheme="majorBidi"/>
          <w:sz w:val="24"/>
          <w:szCs w:val="24"/>
        </w:rPr>
        <w:t xml:space="preserve"> scores were more negative, the transverse correction using rapid palatal expanders is needed and should be completed before performing secondary bone graft in order to guarantee stabilization of the dental arch at a correct width. In addition, more comprehensive orthodontic measures are necessary in the presence of pronounced cross-bite.</w:t>
      </w:r>
      <w:r w:rsidR="001A713E">
        <w:rPr>
          <w:rFonts w:asciiTheme="majorBidi" w:hAnsiTheme="majorBidi" w:cstheme="majorBidi"/>
          <w:sz w:val="24"/>
          <w:szCs w:val="24"/>
        </w:rPr>
        <w:t xml:space="preserve"> </w:t>
      </w:r>
    </w:p>
    <w:p w:rsidR="001A713E" w:rsidRPr="001A713E" w:rsidRDefault="001A713E" w:rsidP="001A713E">
      <w:pPr>
        <w:spacing w:before="240" w:line="480" w:lineRule="auto"/>
        <w:ind w:firstLine="720"/>
        <w:jc w:val="mediumKashida"/>
        <w:rPr>
          <w:rFonts w:asciiTheme="majorBidi" w:hAnsiTheme="majorBidi" w:cstheme="majorBidi"/>
          <w:sz w:val="24"/>
          <w:szCs w:val="24"/>
        </w:rPr>
      </w:pPr>
    </w:p>
    <w:p w:rsidR="00572ECC" w:rsidRDefault="00572ECC" w:rsidP="00572ECC">
      <w:pPr>
        <w:spacing w:before="240"/>
        <w:ind w:firstLine="720"/>
        <w:jc w:val="mediumKashida"/>
        <w:rPr>
          <w:rFonts w:asciiTheme="majorBidi" w:hAnsiTheme="majorBidi" w:cstheme="majorBidi"/>
          <w:b/>
          <w:bCs/>
          <w:sz w:val="24"/>
          <w:szCs w:val="24"/>
        </w:rPr>
      </w:pPr>
      <w:r w:rsidRPr="00572ECC">
        <w:rPr>
          <w:rFonts w:asciiTheme="majorBidi" w:hAnsiTheme="majorBidi" w:cstheme="majorBidi"/>
          <w:b/>
          <w:bCs/>
          <w:sz w:val="24"/>
          <w:szCs w:val="24"/>
        </w:rPr>
        <w:t>Conclusion</w:t>
      </w:r>
    </w:p>
    <w:p w:rsidR="00572ECC" w:rsidRPr="001437E8" w:rsidRDefault="00572ECC" w:rsidP="001437E8">
      <w:pPr>
        <w:spacing w:before="200" w:after="0" w:line="480" w:lineRule="auto"/>
        <w:ind w:firstLine="720"/>
        <w:jc w:val="mediumKashida"/>
        <w:rPr>
          <w:rFonts w:asciiTheme="majorBidi" w:hAnsiTheme="majorBidi" w:cstheme="majorBidi"/>
          <w:sz w:val="24"/>
          <w:szCs w:val="24"/>
        </w:rPr>
      </w:pPr>
      <w:r w:rsidRPr="001437E8">
        <w:rPr>
          <w:rFonts w:asciiTheme="majorBidi" w:hAnsiTheme="majorBidi" w:cstheme="majorBidi"/>
          <w:sz w:val="24"/>
          <w:szCs w:val="24"/>
        </w:rPr>
        <w:t>Based on the results of present study, it can be concluded that:</w:t>
      </w:r>
    </w:p>
    <w:p w:rsidR="00572ECC" w:rsidRPr="001437E8" w:rsidRDefault="00572ECC" w:rsidP="001437E8">
      <w:pPr>
        <w:numPr>
          <w:ilvl w:val="0"/>
          <w:numId w:val="11"/>
        </w:numPr>
        <w:spacing w:before="40" w:after="0" w:line="480" w:lineRule="auto"/>
        <w:ind w:left="397" w:hanging="397"/>
        <w:jc w:val="mediumKashida"/>
        <w:rPr>
          <w:rFonts w:asciiTheme="majorBidi" w:hAnsiTheme="majorBidi" w:cstheme="majorBidi"/>
          <w:sz w:val="24"/>
          <w:szCs w:val="24"/>
        </w:rPr>
      </w:pPr>
      <w:r w:rsidRPr="001437E8">
        <w:rPr>
          <w:rFonts w:asciiTheme="majorBidi" w:hAnsiTheme="majorBidi" w:cstheme="majorBidi"/>
          <w:sz w:val="24"/>
          <w:szCs w:val="24"/>
        </w:rPr>
        <w:t>There was a tendency towards mesio-occlusion in UCLP children (mesial step terminal plane, class III permanent molar and cuspid relation).</w:t>
      </w:r>
    </w:p>
    <w:p w:rsidR="00572ECC" w:rsidRPr="00EB53A6" w:rsidRDefault="00572ECC" w:rsidP="001437E8">
      <w:pPr>
        <w:pStyle w:val="ListParagraph"/>
        <w:numPr>
          <w:ilvl w:val="0"/>
          <w:numId w:val="11"/>
        </w:numPr>
        <w:spacing w:before="240" w:after="200" w:line="480" w:lineRule="auto"/>
        <w:jc w:val="mediumKashida"/>
        <w:rPr>
          <w:rFonts w:asciiTheme="majorBidi" w:hAnsiTheme="majorBidi" w:cstheme="majorBidi"/>
          <w:szCs w:val="28"/>
        </w:rPr>
      </w:pPr>
      <w:r w:rsidRPr="001437E8">
        <w:rPr>
          <w:rFonts w:asciiTheme="majorBidi" w:hAnsiTheme="majorBidi" w:cstheme="majorBidi"/>
          <w:i/>
          <w:iCs/>
          <w:sz w:val="24"/>
          <w:szCs w:val="24"/>
        </w:rPr>
        <w:t>Modified Huddart/Bodenham</w:t>
      </w:r>
      <w:r w:rsidRPr="001437E8">
        <w:rPr>
          <w:rFonts w:asciiTheme="majorBidi" w:hAnsiTheme="majorBidi" w:cstheme="majorBidi"/>
          <w:sz w:val="24"/>
          <w:szCs w:val="24"/>
        </w:rPr>
        <w:t xml:space="preserve"> scores revealed that UCLP children suffered from constricted maxillary arch in all age groups especially in the canine region</w:t>
      </w:r>
      <w:r w:rsidRPr="00EB53A6">
        <w:rPr>
          <w:rFonts w:asciiTheme="majorBidi" w:hAnsiTheme="majorBidi" w:cstheme="majorBidi"/>
          <w:szCs w:val="28"/>
        </w:rPr>
        <w:t>.</w:t>
      </w:r>
    </w:p>
    <w:p w:rsidR="001437E8" w:rsidRDefault="001437E8" w:rsidP="00572ECC">
      <w:pPr>
        <w:spacing w:before="240"/>
        <w:ind w:firstLine="720"/>
        <w:jc w:val="mediumKashida"/>
        <w:rPr>
          <w:rFonts w:asciiTheme="majorBidi" w:hAnsiTheme="majorBidi" w:cstheme="majorBidi"/>
          <w:b/>
          <w:bCs/>
          <w:sz w:val="24"/>
          <w:szCs w:val="24"/>
        </w:rPr>
      </w:pPr>
    </w:p>
    <w:p w:rsidR="001437E8" w:rsidRDefault="00572ECC" w:rsidP="001A713E">
      <w:pPr>
        <w:spacing w:before="240"/>
        <w:jc w:val="mediumKashida"/>
        <w:rPr>
          <w:rFonts w:asciiTheme="majorBidi" w:hAnsiTheme="majorBidi" w:cstheme="majorBidi"/>
          <w:b/>
          <w:bCs/>
          <w:sz w:val="24"/>
          <w:szCs w:val="24"/>
        </w:rPr>
      </w:pPr>
      <w:r>
        <w:rPr>
          <w:rFonts w:asciiTheme="majorBidi" w:hAnsiTheme="majorBidi" w:cstheme="majorBidi"/>
          <w:b/>
          <w:bCs/>
          <w:sz w:val="24"/>
          <w:szCs w:val="24"/>
        </w:rPr>
        <w:t>Recommendations</w:t>
      </w:r>
    </w:p>
    <w:p w:rsidR="001A713E" w:rsidRPr="00D66001" w:rsidRDefault="001A713E" w:rsidP="001A713E">
      <w:pPr>
        <w:spacing w:before="240" w:line="480" w:lineRule="auto"/>
        <w:ind w:firstLine="720"/>
        <w:jc w:val="mediumKashida"/>
        <w:rPr>
          <w:rFonts w:asciiTheme="majorBidi" w:hAnsiTheme="majorBidi" w:cstheme="majorBidi"/>
          <w:sz w:val="24"/>
          <w:szCs w:val="24"/>
          <w:lang w:bidi="ar-EG"/>
        </w:rPr>
      </w:pPr>
      <w:r w:rsidRPr="00D66001">
        <w:rPr>
          <w:rFonts w:asciiTheme="majorBidi" w:hAnsiTheme="majorBidi" w:cstheme="majorBidi"/>
          <w:sz w:val="24"/>
          <w:szCs w:val="24"/>
          <w:lang w:bidi="ar-EG"/>
        </w:rPr>
        <w:t>Further research should be ini</w:t>
      </w:r>
      <w:r>
        <w:rPr>
          <w:rFonts w:asciiTheme="majorBidi" w:hAnsiTheme="majorBidi" w:cstheme="majorBidi"/>
          <w:sz w:val="24"/>
          <w:szCs w:val="24"/>
          <w:lang w:bidi="ar-EG"/>
        </w:rPr>
        <w:t>tiated to assess arch dimensions and occlusion</w:t>
      </w:r>
      <w:r w:rsidRPr="00D66001">
        <w:rPr>
          <w:rFonts w:asciiTheme="majorBidi" w:hAnsiTheme="majorBidi" w:cstheme="majorBidi"/>
          <w:sz w:val="24"/>
          <w:szCs w:val="24"/>
          <w:lang w:bidi="ar-EG"/>
        </w:rPr>
        <w:t xml:space="preserve"> following different interceptive orthodontic measures and alveolar bone grafting in attempt to improve surgical outcomes. In addition, characteristics of arch dimensions</w:t>
      </w:r>
      <w:r>
        <w:rPr>
          <w:rFonts w:asciiTheme="majorBidi" w:hAnsiTheme="majorBidi" w:cstheme="majorBidi"/>
          <w:sz w:val="24"/>
          <w:szCs w:val="24"/>
          <w:lang w:bidi="ar-EG"/>
        </w:rPr>
        <w:t xml:space="preserve"> and occlusion</w:t>
      </w:r>
      <w:r w:rsidRPr="00D66001">
        <w:rPr>
          <w:rFonts w:asciiTheme="majorBidi" w:hAnsiTheme="majorBidi" w:cstheme="majorBidi"/>
          <w:sz w:val="24"/>
          <w:szCs w:val="24"/>
          <w:lang w:bidi="ar-EG"/>
        </w:rPr>
        <w:t xml:space="preserve"> in children with different types of cleft lip and palate in Egyptian children should be also investigated.</w:t>
      </w:r>
    </w:p>
    <w:p w:rsidR="001A713E" w:rsidRPr="00EB1150" w:rsidRDefault="001A713E" w:rsidP="001A713E">
      <w:pPr>
        <w:spacing w:before="240" w:line="480" w:lineRule="auto"/>
        <w:jc w:val="both"/>
        <w:rPr>
          <w:rFonts w:cs="Times New Roman"/>
          <w:b/>
          <w:bCs/>
          <w:sz w:val="24"/>
          <w:szCs w:val="24"/>
        </w:rPr>
      </w:pPr>
      <w:r w:rsidRPr="00EB1150">
        <w:rPr>
          <w:rFonts w:cs="Times New Roman"/>
          <w:b/>
          <w:bCs/>
          <w:sz w:val="24"/>
          <w:szCs w:val="24"/>
        </w:rPr>
        <w:t>Conflict of interest:</w:t>
      </w:r>
    </w:p>
    <w:p w:rsidR="001A713E" w:rsidRPr="00596D8B" w:rsidRDefault="001A713E" w:rsidP="001A713E">
      <w:pPr>
        <w:spacing w:line="480" w:lineRule="auto"/>
        <w:jc w:val="both"/>
        <w:rPr>
          <w:rFonts w:cs="Times New Roman"/>
          <w:sz w:val="24"/>
          <w:szCs w:val="24"/>
        </w:rPr>
      </w:pPr>
      <w:r w:rsidRPr="00EB1150">
        <w:rPr>
          <w:rFonts w:cs="Times New Roman"/>
          <w:sz w:val="24"/>
          <w:szCs w:val="24"/>
        </w:rPr>
        <w:t>The authors declare that they have no conflicts of interest.</w:t>
      </w:r>
    </w:p>
    <w:p w:rsidR="00CC6DFA" w:rsidRPr="001A713E" w:rsidRDefault="00572ECC" w:rsidP="001A713E">
      <w:pPr>
        <w:spacing w:before="240"/>
        <w:ind w:firstLine="720"/>
        <w:jc w:val="mediumKashida"/>
        <w:rPr>
          <w:rFonts w:asciiTheme="majorBidi" w:hAnsiTheme="majorBidi" w:cstheme="majorBidi"/>
          <w:b/>
          <w:bCs/>
          <w:sz w:val="24"/>
          <w:szCs w:val="24"/>
        </w:rPr>
      </w:pPr>
      <w:r w:rsidRPr="00572ECC">
        <w:rPr>
          <w:rFonts w:asciiTheme="majorBidi" w:hAnsiTheme="majorBidi" w:cstheme="majorBidi"/>
          <w:b/>
          <w:bCs/>
          <w:sz w:val="24"/>
          <w:szCs w:val="24"/>
        </w:rPr>
        <w:t xml:space="preserve"> </w:t>
      </w:r>
    </w:p>
    <w:p w:rsidR="00623E44" w:rsidRPr="005E3E47" w:rsidRDefault="00623E44" w:rsidP="001A713E">
      <w:pPr>
        <w:spacing w:before="0" w:after="0"/>
        <w:rPr>
          <w:rFonts w:eastAsia="Times New Roman" w:cs="Times New Roman"/>
          <w:b/>
          <w:bCs/>
          <w:szCs w:val="28"/>
        </w:rPr>
      </w:pPr>
      <w:r>
        <w:rPr>
          <w:rFonts w:eastAsia="Times New Roman" w:cs="Times New Roman"/>
          <w:b/>
          <w:bCs/>
          <w:szCs w:val="28"/>
        </w:rPr>
        <w:t>REFERENCES</w:t>
      </w:r>
    </w:p>
    <w:p w:rsidR="00623E44" w:rsidRPr="000A3798" w:rsidRDefault="00623E44" w:rsidP="00623E44">
      <w:pPr>
        <w:pStyle w:val="ListParagraph"/>
        <w:numPr>
          <w:ilvl w:val="0"/>
          <w:numId w:val="10"/>
        </w:numPr>
        <w:autoSpaceDE w:val="0"/>
        <w:autoSpaceDN w:val="0"/>
        <w:adjustRightInd w:val="0"/>
        <w:spacing w:before="0" w:after="0"/>
        <w:jc w:val="both"/>
      </w:pPr>
      <w:r w:rsidRPr="0066240E">
        <w:rPr>
          <w:rStyle w:val="nlmarticle-title"/>
        </w:rPr>
        <w:t xml:space="preserve">Marazita ML, Mooney MP. Current concepts in the embryology and </w:t>
      </w:r>
      <w:r w:rsidRPr="000A3798">
        <w:t>genetics of cleft lip an</w:t>
      </w:r>
      <w:r>
        <w:t>d cleft palate. Clin Plast Surg</w:t>
      </w:r>
      <w:r w:rsidRPr="000A3798">
        <w:t xml:space="preserve"> 2004;</w:t>
      </w:r>
      <w:r>
        <w:t xml:space="preserve"> </w:t>
      </w:r>
      <w:r w:rsidRPr="000A3798">
        <w:t>31:</w:t>
      </w:r>
      <w:r>
        <w:t xml:space="preserve"> 125-</w:t>
      </w:r>
      <w:r w:rsidRPr="000A3798">
        <w:t>40.</w:t>
      </w:r>
    </w:p>
    <w:p w:rsidR="00623E44" w:rsidRDefault="00623E44" w:rsidP="00623E44">
      <w:pPr>
        <w:pStyle w:val="ListParagraph"/>
        <w:numPr>
          <w:ilvl w:val="0"/>
          <w:numId w:val="10"/>
        </w:numPr>
        <w:autoSpaceDE w:val="0"/>
        <w:autoSpaceDN w:val="0"/>
        <w:adjustRightInd w:val="0"/>
        <w:spacing w:before="0" w:after="0"/>
        <w:jc w:val="both"/>
        <w:rPr>
          <w:rStyle w:val="nlmarticle-title"/>
        </w:rPr>
      </w:pPr>
      <w:r w:rsidRPr="000A3798">
        <w:rPr>
          <w:rStyle w:val="nlmarticle-title"/>
        </w:rPr>
        <w:t>Cobourne MT. The complex genetics of cleft lip and palate.</w:t>
      </w:r>
      <w:r>
        <w:rPr>
          <w:rStyle w:val="nlmarticle-title"/>
        </w:rPr>
        <w:t xml:space="preserve"> Eur J Orthod </w:t>
      </w:r>
      <w:r w:rsidRPr="000A3798">
        <w:rPr>
          <w:rStyle w:val="nlmarticle-title"/>
        </w:rPr>
        <w:t>2004;</w:t>
      </w:r>
      <w:r>
        <w:rPr>
          <w:rStyle w:val="nlmarticle-title"/>
        </w:rPr>
        <w:t xml:space="preserve"> </w:t>
      </w:r>
      <w:r w:rsidRPr="000A3798">
        <w:rPr>
          <w:rStyle w:val="nlmarticle-title"/>
        </w:rPr>
        <w:t>26:</w:t>
      </w:r>
      <w:r>
        <w:rPr>
          <w:rStyle w:val="nlmarticle-title"/>
        </w:rPr>
        <w:t xml:space="preserve"> </w:t>
      </w:r>
      <w:r w:rsidRPr="000A3798">
        <w:rPr>
          <w:rStyle w:val="nlmarticle-title"/>
        </w:rPr>
        <w:t>7-16.</w:t>
      </w:r>
    </w:p>
    <w:p w:rsidR="00623E44" w:rsidRDefault="00623E44" w:rsidP="00623E44">
      <w:pPr>
        <w:pStyle w:val="ListParagraph"/>
        <w:numPr>
          <w:ilvl w:val="0"/>
          <w:numId w:val="10"/>
        </w:numPr>
        <w:autoSpaceDE w:val="0"/>
        <w:autoSpaceDN w:val="0"/>
        <w:adjustRightInd w:val="0"/>
        <w:spacing w:before="0" w:after="0"/>
        <w:jc w:val="both"/>
      </w:pPr>
      <w:r w:rsidRPr="000A3798">
        <w:t>Rice DP. Craniofacial anomalies: from development to molec</w:t>
      </w:r>
      <w:r>
        <w:t>ular pathogenesis. Curr Mol Med</w:t>
      </w:r>
      <w:r w:rsidRPr="000A3798">
        <w:t xml:space="preserve"> 2005;</w:t>
      </w:r>
      <w:r>
        <w:t xml:space="preserve"> </w:t>
      </w:r>
      <w:r w:rsidRPr="000A3798">
        <w:t>5:</w:t>
      </w:r>
      <w:r>
        <w:t xml:space="preserve"> </w:t>
      </w:r>
      <w:r w:rsidRPr="000A3798">
        <w:t>699-722.</w:t>
      </w:r>
    </w:p>
    <w:p w:rsidR="00623E44" w:rsidRPr="000A3798" w:rsidRDefault="00623E44" w:rsidP="00623E44">
      <w:pPr>
        <w:pStyle w:val="ListParagraph"/>
        <w:numPr>
          <w:ilvl w:val="0"/>
          <w:numId w:val="10"/>
        </w:numPr>
        <w:autoSpaceDE w:val="0"/>
        <w:autoSpaceDN w:val="0"/>
        <w:adjustRightInd w:val="0"/>
        <w:spacing w:before="0" w:after="0"/>
        <w:jc w:val="both"/>
      </w:pPr>
      <w:r w:rsidRPr="000A3798">
        <w:t>Mossey PA, Little J, Munger RG, Dixon MJ, Shaw W</w:t>
      </w:r>
      <w:r>
        <w:t>C. Cleft lip and palate. Lancet 2009; 374: 1773-</w:t>
      </w:r>
      <w:r w:rsidRPr="000A3798">
        <w:t>85.</w:t>
      </w:r>
    </w:p>
    <w:p w:rsidR="00623E44" w:rsidRPr="005445ED" w:rsidRDefault="00623E44" w:rsidP="00A03034">
      <w:pPr>
        <w:pStyle w:val="ListParagraph"/>
        <w:numPr>
          <w:ilvl w:val="0"/>
          <w:numId w:val="10"/>
        </w:numPr>
        <w:autoSpaceDE w:val="0"/>
        <w:autoSpaceDN w:val="0"/>
        <w:adjustRightInd w:val="0"/>
        <w:spacing w:before="0" w:after="0"/>
        <w:jc w:val="both"/>
      </w:pPr>
      <w:r>
        <w:rPr>
          <w:rFonts w:eastAsiaTheme="minorHAnsi" w:cs="Times New Roman"/>
          <w:szCs w:val="28"/>
        </w:rPr>
        <w:t>World Health Organization (WHO). Oral Health. Available from URL:</w:t>
      </w:r>
      <w:r w:rsidRPr="002113B1">
        <w:t xml:space="preserve"> </w:t>
      </w:r>
      <w:hyperlink r:id="rId9" w:history="1">
        <w:r w:rsidRPr="00E4706A">
          <w:rPr>
            <w:rStyle w:val="Hyperlink"/>
            <w:rFonts w:eastAsiaTheme="minorHAnsi" w:cs="Times New Roman"/>
            <w:szCs w:val="28"/>
          </w:rPr>
          <w:t>http://www.who.int/mediacentre/factsheets/fs318/en/</w:t>
        </w:r>
      </w:hyperlink>
      <w:r>
        <w:rPr>
          <w:rFonts w:eastAsiaTheme="minorHAnsi" w:cs="Times New Roman"/>
          <w:szCs w:val="28"/>
        </w:rPr>
        <w:t xml:space="preserve"> Accessed on 1</w:t>
      </w:r>
      <w:r w:rsidRPr="002113B1">
        <w:rPr>
          <w:rFonts w:eastAsiaTheme="minorHAnsi" w:cs="Times New Roman"/>
          <w:szCs w:val="28"/>
          <w:vertAlign w:val="superscript"/>
        </w:rPr>
        <w:t>st</w:t>
      </w:r>
      <w:r>
        <w:rPr>
          <w:rFonts w:eastAsiaTheme="minorHAnsi" w:cs="Times New Roman"/>
          <w:szCs w:val="28"/>
        </w:rPr>
        <w:t xml:space="preserve"> of July 201</w:t>
      </w:r>
      <w:r w:rsidR="00A03034">
        <w:rPr>
          <w:rFonts w:eastAsiaTheme="minorHAnsi" w:cs="Times New Roman"/>
          <w:szCs w:val="28"/>
        </w:rPr>
        <w:t>6</w:t>
      </w:r>
      <w:r>
        <w:rPr>
          <w:rFonts w:eastAsiaTheme="minorHAnsi" w:cs="Times New Roman"/>
          <w:szCs w:val="28"/>
        </w:rPr>
        <w:t xml:space="preserve">. </w:t>
      </w:r>
    </w:p>
    <w:p w:rsidR="00623E44" w:rsidRDefault="00623E44" w:rsidP="00623E44">
      <w:pPr>
        <w:pStyle w:val="ListParagraph"/>
        <w:numPr>
          <w:ilvl w:val="0"/>
          <w:numId w:val="10"/>
        </w:numPr>
        <w:autoSpaceDE w:val="0"/>
        <w:autoSpaceDN w:val="0"/>
        <w:adjustRightInd w:val="0"/>
        <w:spacing w:before="0" w:after="0"/>
        <w:jc w:val="both"/>
        <w:rPr>
          <w:rStyle w:val="element-citation"/>
        </w:rPr>
      </w:pPr>
      <w:r w:rsidRPr="00BB27BA">
        <w:rPr>
          <w:rStyle w:val="element-citation"/>
        </w:rPr>
        <w:t xml:space="preserve">Abyholm FE. Cleft lip and palate in Norway, I. Registration, incidence and early mortality of infants with cleft lip and palate. </w:t>
      </w:r>
      <w:r w:rsidRPr="00BB27BA">
        <w:rPr>
          <w:rStyle w:val="ref-journal"/>
        </w:rPr>
        <w:t xml:space="preserve">Scand J Plast Reconstr Surg </w:t>
      </w:r>
      <w:r w:rsidRPr="00BB27BA">
        <w:rPr>
          <w:rStyle w:val="element-citation"/>
        </w:rPr>
        <w:t>1978;</w:t>
      </w:r>
      <w:r>
        <w:rPr>
          <w:rStyle w:val="element-citation"/>
        </w:rPr>
        <w:t xml:space="preserve"> </w:t>
      </w:r>
      <w:r w:rsidRPr="00BB27BA">
        <w:rPr>
          <w:rStyle w:val="ref-vol"/>
        </w:rPr>
        <w:t>12</w:t>
      </w:r>
      <w:r w:rsidRPr="00BB27BA">
        <w:rPr>
          <w:rStyle w:val="element-citation"/>
        </w:rPr>
        <w:t>:29–43.</w:t>
      </w:r>
    </w:p>
    <w:p w:rsidR="00623E44" w:rsidRDefault="00623E44" w:rsidP="00623E44">
      <w:pPr>
        <w:pStyle w:val="ListParagraph"/>
        <w:numPr>
          <w:ilvl w:val="0"/>
          <w:numId w:val="10"/>
        </w:numPr>
        <w:autoSpaceDE w:val="0"/>
        <w:autoSpaceDN w:val="0"/>
        <w:adjustRightInd w:val="0"/>
        <w:spacing w:before="0" w:after="0"/>
        <w:jc w:val="both"/>
        <w:rPr>
          <w:rStyle w:val="element-citation"/>
        </w:rPr>
      </w:pPr>
      <w:r w:rsidRPr="00BB27BA">
        <w:rPr>
          <w:rStyle w:val="element-citation"/>
        </w:rPr>
        <w:t>Womersley</w:t>
      </w:r>
      <w:r>
        <w:rPr>
          <w:rStyle w:val="element-citation"/>
        </w:rPr>
        <w:t xml:space="preserve"> J, Stone DH. Epidemiology of facial clefts. </w:t>
      </w:r>
      <w:r>
        <w:rPr>
          <w:rStyle w:val="ref-journal"/>
        </w:rPr>
        <w:t xml:space="preserve">Arch Dis Child </w:t>
      </w:r>
      <w:r>
        <w:rPr>
          <w:rStyle w:val="element-citation"/>
        </w:rPr>
        <w:t xml:space="preserve">1987; </w:t>
      </w:r>
      <w:r>
        <w:rPr>
          <w:rStyle w:val="ref-vol"/>
        </w:rPr>
        <w:t>62</w:t>
      </w:r>
      <w:r>
        <w:rPr>
          <w:rStyle w:val="element-citation"/>
        </w:rPr>
        <w:t>:717–20.</w:t>
      </w:r>
    </w:p>
    <w:p w:rsidR="00623E44" w:rsidRDefault="00623E44" w:rsidP="00623E44">
      <w:pPr>
        <w:pStyle w:val="ListParagraph"/>
        <w:numPr>
          <w:ilvl w:val="0"/>
          <w:numId w:val="10"/>
        </w:numPr>
        <w:autoSpaceDE w:val="0"/>
        <w:autoSpaceDN w:val="0"/>
        <w:adjustRightInd w:val="0"/>
        <w:spacing w:before="0" w:after="0"/>
        <w:jc w:val="both"/>
        <w:rPr>
          <w:rStyle w:val="element-citation"/>
        </w:rPr>
      </w:pPr>
      <w:r>
        <w:rPr>
          <w:rStyle w:val="element-citation"/>
        </w:rPr>
        <w:t xml:space="preserve">Jensen BL, Kreiborg S, Dahl E, Fogh-Andersen P. Cleft lip and palate in Denmark, 1976-1981: Epidemiological, variability, and early somatic development. </w:t>
      </w:r>
      <w:r>
        <w:rPr>
          <w:rStyle w:val="ref-journal"/>
        </w:rPr>
        <w:t xml:space="preserve">Cleft Palate J </w:t>
      </w:r>
      <w:r>
        <w:rPr>
          <w:rStyle w:val="element-citation"/>
        </w:rPr>
        <w:t xml:space="preserve">1988; </w:t>
      </w:r>
      <w:r>
        <w:rPr>
          <w:rStyle w:val="ref-vol"/>
        </w:rPr>
        <w:t>25</w:t>
      </w:r>
      <w:r>
        <w:rPr>
          <w:rStyle w:val="element-citation"/>
        </w:rPr>
        <w:t>:258–69.</w:t>
      </w:r>
    </w:p>
    <w:p w:rsidR="00A03034" w:rsidRDefault="00A03034" w:rsidP="00623E44">
      <w:pPr>
        <w:pStyle w:val="ListParagraph"/>
        <w:numPr>
          <w:ilvl w:val="0"/>
          <w:numId w:val="10"/>
        </w:numPr>
        <w:autoSpaceDE w:val="0"/>
        <w:autoSpaceDN w:val="0"/>
        <w:adjustRightInd w:val="0"/>
        <w:spacing w:before="0" w:after="0"/>
        <w:jc w:val="both"/>
        <w:rPr>
          <w:rStyle w:val="element-citation"/>
        </w:rPr>
      </w:pPr>
      <w:r>
        <w:rPr>
          <w:rStyle w:val="element-citation"/>
        </w:rPr>
        <w:t>ElSemary S. Prevalence of cleft lip and/or palate among children residing in Cairo, Egypt. Master Thesis, Faculty of Dentistry, Ain Shams University, 2012.</w:t>
      </w:r>
    </w:p>
    <w:p w:rsidR="00623E44" w:rsidRPr="00BB27BA" w:rsidRDefault="00623E44" w:rsidP="00A03034">
      <w:pPr>
        <w:pStyle w:val="ListParagraph"/>
        <w:numPr>
          <w:ilvl w:val="0"/>
          <w:numId w:val="10"/>
        </w:numPr>
        <w:autoSpaceDE w:val="0"/>
        <w:autoSpaceDN w:val="0"/>
        <w:adjustRightInd w:val="0"/>
        <w:spacing w:before="0" w:after="0"/>
        <w:jc w:val="both"/>
      </w:pPr>
      <w:r>
        <w:rPr>
          <w:rFonts w:eastAsiaTheme="minorHAnsi" w:cs="Times New Roman"/>
          <w:szCs w:val="28"/>
        </w:rPr>
        <w:t xml:space="preserve">World Health Organization (WHO). </w:t>
      </w:r>
      <w:r>
        <w:t>What is the burden of oral disease? Available f</w:t>
      </w:r>
      <w:r w:rsidRPr="00BB27BA">
        <w:t>rom URL:</w:t>
      </w:r>
      <w:r>
        <w:t xml:space="preserve"> </w:t>
      </w:r>
      <w:hyperlink r:id="rId10" w:history="1">
        <w:r w:rsidRPr="00BB27BA">
          <w:rPr>
            <w:rStyle w:val="Hyperlink"/>
          </w:rPr>
          <w:t>http://www.who.int/oral_health/disease_burden/global/en/</w:t>
        </w:r>
      </w:hyperlink>
      <w:r>
        <w:t xml:space="preserve"> A</w:t>
      </w:r>
      <w:r w:rsidRPr="00BB27BA">
        <w:t>ccessed on 1</w:t>
      </w:r>
      <w:r w:rsidRPr="00BB27BA">
        <w:rPr>
          <w:vertAlign w:val="superscript"/>
        </w:rPr>
        <w:t>st</w:t>
      </w:r>
      <w:r>
        <w:t xml:space="preserve"> of July</w:t>
      </w:r>
      <w:r w:rsidRPr="00BB27BA">
        <w:t xml:space="preserve"> 201</w:t>
      </w:r>
      <w:r w:rsidR="00A03034">
        <w:t>6</w:t>
      </w:r>
      <w:r w:rsidRPr="00BB27BA">
        <w:t>.</w:t>
      </w:r>
    </w:p>
    <w:p w:rsidR="00623E44" w:rsidRDefault="00623E44" w:rsidP="00623E44">
      <w:pPr>
        <w:pStyle w:val="ListParagraph"/>
        <w:numPr>
          <w:ilvl w:val="0"/>
          <w:numId w:val="10"/>
        </w:numPr>
        <w:spacing w:before="0" w:after="0"/>
        <w:jc w:val="both"/>
        <w:rPr>
          <w:rFonts w:eastAsia="Times New Roman" w:cs="Times New Roman"/>
          <w:szCs w:val="28"/>
        </w:rPr>
      </w:pPr>
      <w:r>
        <w:rPr>
          <w:rFonts w:eastAsia="Times New Roman" w:cs="Times New Roman"/>
          <w:szCs w:val="28"/>
        </w:rPr>
        <w:t xml:space="preserve">Rajab A, </w:t>
      </w:r>
      <w:r w:rsidRPr="000B35D6">
        <w:rPr>
          <w:rFonts w:eastAsia="Times New Roman" w:cs="Times New Roman"/>
          <w:szCs w:val="28"/>
        </w:rPr>
        <w:t>Thomas</w:t>
      </w:r>
      <w:r>
        <w:rPr>
          <w:rFonts w:eastAsia="Times New Roman" w:cs="Times New Roman"/>
          <w:szCs w:val="28"/>
        </w:rPr>
        <w:t xml:space="preserve"> C</w:t>
      </w:r>
      <w:r w:rsidRPr="000B35D6">
        <w:rPr>
          <w:rFonts w:eastAsia="Times New Roman" w:cs="Times New Roman"/>
          <w:szCs w:val="28"/>
        </w:rPr>
        <w:t>. Oral clefts in the Sultanate of Oman. Eur J Plast Surg 2001</w:t>
      </w:r>
      <w:r>
        <w:rPr>
          <w:rFonts w:eastAsia="Times New Roman" w:cs="Times New Roman"/>
          <w:szCs w:val="28"/>
        </w:rPr>
        <w:t>;</w:t>
      </w:r>
      <w:r w:rsidRPr="000B35D6">
        <w:rPr>
          <w:rFonts w:eastAsia="Times New Roman" w:cs="Times New Roman"/>
          <w:szCs w:val="28"/>
        </w:rPr>
        <w:t xml:space="preserve"> 24:230–3.</w:t>
      </w:r>
      <w:r>
        <w:rPr>
          <w:rFonts w:eastAsia="Times New Roman" w:cs="Times New Roman"/>
          <w:szCs w:val="28"/>
        </w:rPr>
        <w:t xml:space="preserve"> </w:t>
      </w:r>
    </w:p>
    <w:p w:rsidR="00CC37DD" w:rsidRDefault="00623E44" w:rsidP="00CC37DD">
      <w:pPr>
        <w:pStyle w:val="ListParagraph"/>
        <w:numPr>
          <w:ilvl w:val="0"/>
          <w:numId w:val="10"/>
        </w:numPr>
        <w:spacing w:before="0" w:after="0"/>
        <w:jc w:val="mediumKashida"/>
        <w:rPr>
          <w:rFonts w:eastAsia="Times New Roman" w:cs="Times New Roman"/>
          <w:szCs w:val="28"/>
        </w:rPr>
      </w:pPr>
      <w:r>
        <w:rPr>
          <w:rFonts w:eastAsia="Times New Roman" w:cs="Times New Roman"/>
          <w:szCs w:val="28"/>
        </w:rPr>
        <w:t xml:space="preserve">Suleiman AM, </w:t>
      </w:r>
      <w:r w:rsidRPr="00512577">
        <w:rPr>
          <w:rFonts w:eastAsia="Times New Roman" w:cs="Times New Roman"/>
          <w:szCs w:val="28"/>
        </w:rPr>
        <w:t>Hamzah</w:t>
      </w:r>
      <w:r>
        <w:rPr>
          <w:rFonts w:eastAsia="Times New Roman" w:cs="Times New Roman"/>
          <w:szCs w:val="28"/>
        </w:rPr>
        <w:t xml:space="preserve"> ST, </w:t>
      </w:r>
      <w:r w:rsidRPr="00512577">
        <w:rPr>
          <w:rFonts w:eastAsia="Times New Roman" w:cs="Times New Roman"/>
          <w:szCs w:val="28"/>
        </w:rPr>
        <w:t>Abusalab</w:t>
      </w:r>
      <w:r>
        <w:rPr>
          <w:rFonts w:eastAsia="Times New Roman" w:cs="Times New Roman"/>
          <w:szCs w:val="28"/>
        </w:rPr>
        <w:t xml:space="preserve"> MA,  </w:t>
      </w:r>
      <w:r w:rsidRPr="00512577">
        <w:rPr>
          <w:rFonts w:eastAsia="Times New Roman" w:cs="Times New Roman"/>
          <w:szCs w:val="28"/>
        </w:rPr>
        <w:t>Samaan</w:t>
      </w:r>
      <w:r>
        <w:rPr>
          <w:rFonts w:eastAsia="Times New Roman" w:cs="Times New Roman"/>
          <w:szCs w:val="28"/>
        </w:rPr>
        <w:t xml:space="preserve"> KT</w:t>
      </w:r>
      <w:r w:rsidRPr="00512577">
        <w:rPr>
          <w:rFonts w:eastAsia="Times New Roman" w:cs="Times New Roman"/>
          <w:szCs w:val="28"/>
        </w:rPr>
        <w:t xml:space="preserve"> . Prevalence of cleft lip and palate in a hospital-based po</w:t>
      </w:r>
      <w:r>
        <w:rPr>
          <w:rFonts w:eastAsia="Times New Roman" w:cs="Times New Roman"/>
          <w:szCs w:val="28"/>
        </w:rPr>
        <w:t>pulation in the Sudan. Int J Pae</w:t>
      </w:r>
      <w:r w:rsidRPr="00512577">
        <w:rPr>
          <w:rFonts w:eastAsia="Times New Roman" w:cs="Times New Roman"/>
          <w:szCs w:val="28"/>
        </w:rPr>
        <w:t>diatr Dent 2005</w:t>
      </w:r>
      <w:r>
        <w:rPr>
          <w:rFonts w:eastAsia="Times New Roman" w:cs="Times New Roman"/>
          <w:szCs w:val="28"/>
        </w:rPr>
        <w:t>;</w:t>
      </w:r>
      <w:r w:rsidRPr="00512577">
        <w:rPr>
          <w:rFonts w:eastAsia="Times New Roman" w:cs="Times New Roman"/>
          <w:szCs w:val="28"/>
        </w:rPr>
        <w:t xml:space="preserve"> 15:185–9</w:t>
      </w:r>
      <w:r w:rsidR="00A03034">
        <w:rPr>
          <w:rFonts w:eastAsia="Times New Roman" w:cs="Times New Roman"/>
          <w:szCs w:val="28"/>
        </w:rPr>
        <w:t>.</w:t>
      </w:r>
    </w:p>
    <w:p w:rsidR="00CC37DD" w:rsidRPr="00CC37DD" w:rsidRDefault="00CC37DD" w:rsidP="00CC37DD">
      <w:pPr>
        <w:pStyle w:val="ListParagraph"/>
        <w:numPr>
          <w:ilvl w:val="0"/>
          <w:numId w:val="10"/>
        </w:numPr>
        <w:spacing w:before="0" w:after="0"/>
        <w:jc w:val="mediumKashida"/>
        <w:rPr>
          <w:rFonts w:eastAsia="Times New Roman" w:cs="Times New Roman"/>
          <w:szCs w:val="28"/>
        </w:rPr>
      </w:pPr>
      <w:r w:rsidRPr="00420B8E">
        <w:t>Athanasiou AE, Mazaheri M, Zarrinnia K. Longitudinal study of the dental arch dimensions in hard and soft palate clefts. J Pedod 1987; 12: 35-47.</w:t>
      </w:r>
    </w:p>
    <w:p w:rsidR="00CC37DD" w:rsidRPr="00CC37DD" w:rsidRDefault="00CC37DD" w:rsidP="00CC37DD">
      <w:pPr>
        <w:pStyle w:val="ListParagraph"/>
        <w:numPr>
          <w:ilvl w:val="0"/>
          <w:numId w:val="10"/>
        </w:numPr>
        <w:spacing w:before="0" w:after="0"/>
        <w:jc w:val="mediumKashida"/>
        <w:rPr>
          <w:rFonts w:eastAsia="Times New Roman" w:cs="Times New Roman"/>
          <w:szCs w:val="28"/>
        </w:rPr>
      </w:pPr>
      <w:r w:rsidRPr="00AF1BC0">
        <w:t>Nystrom M, Ranta R. Sizes of dental arches and interdental space in 3-year-old children with and without cleft lip/palate. Eur J Orthod 1989; 11: 82-8.</w:t>
      </w:r>
    </w:p>
    <w:p w:rsidR="00CC37DD" w:rsidRPr="00CC37DD" w:rsidRDefault="00CC37DD" w:rsidP="00CC37DD">
      <w:pPr>
        <w:pStyle w:val="ListParagraph"/>
        <w:numPr>
          <w:ilvl w:val="0"/>
          <w:numId w:val="10"/>
        </w:numPr>
        <w:spacing w:before="0" w:after="0"/>
        <w:jc w:val="mediumKashida"/>
        <w:rPr>
          <w:rFonts w:eastAsia="Times New Roman" w:cs="Times New Roman"/>
          <w:szCs w:val="28"/>
        </w:rPr>
      </w:pPr>
      <w:r w:rsidRPr="00AF1BC0">
        <w:t>Da Silva Filho O, Ramos A, Abdo R. The influence of unilateral cleft lip and palate on maxillary dental arch morphology. Angle Orthod 1992; 62: 283-90.</w:t>
      </w:r>
    </w:p>
    <w:p w:rsidR="00CC37DD" w:rsidRPr="00CC37DD" w:rsidRDefault="00CC37DD" w:rsidP="00CC37DD">
      <w:pPr>
        <w:pStyle w:val="ListParagraph"/>
        <w:numPr>
          <w:ilvl w:val="0"/>
          <w:numId w:val="10"/>
        </w:numPr>
        <w:spacing w:before="0" w:after="0"/>
        <w:jc w:val="mediumKashida"/>
        <w:rPr>
          <w:rFonts w:eastAsia="Times New Roman" w:cs="Times New Roman"/>
          <w:szCs w:val="28"/>
        </w:rPr>
      </w:pPr>
      <w:r w:rsidRPr="00AF1BC0">
        <w:t>McCance</w:t>
      </w:r>
      <w:r w:rsidRPr="00CC37DD">
        <w:rPr>
          <w:rFonts w:ascii="TimesNewRoman" w:eastAsiaTheme="minorHAnsi" w:hAnsi="TimesNewRoman" w:cs="TimesNewRoman"/>
          <w:sz w:val="20"/>
          <w:szCs w:val="20"/>
        </w:rPr>
        <w:t xml:space="preserve"> </w:t>
      </w:r>
      <w:r w:rsidRPr="00AF1BC0">
        <w:t>A, Roberts-Harry D, Sherriff M, Mars M, Houston WJ. Sri Lankan cleft lip and palate study model analysis: clefts of the secondary palate. Cleft Palate Craniofac J 1993; 30: 227-30.</w:t>
      </w:r>
    </w:p>
    <w:p w:rsidR="00CC37DD" w:rsidRPr="00CC37DD" w:rsidRDefault="00CC37DD" w:rsidP="00CC37DD">
      <w:pPr>
        <w:pStyle w:val="ListParagraph"/>
        <w:numPr>
          <w:ilvl w:val="0"/>
          <w:numId w:val="10"/>
        </w:numPr>
        <w:spacing w:before="0" w:after="0"/>
        <w:jc w:val="mediumKashida"/>
        <w:rPr>
          <w:rFonts w:eastAsia="Times New Roman" w:cs="Times New Roman"/>
          <w:szCs w:val="28"/>
        </w:rPr>
      </w:pPr>
      <w:r w:rsidRPr="00AF1BC0">
        <w:t>Garrahy A, Millett DT, Ayoub AF. Early assessment of dental arch development in repaired unilateral cleft lip and unilateral cleft lip and palate versus controls. Cleft Palate Craniofac J 2005; 42: 385-91.</w:t>
      </w:r>
    </w:p>
    <w:p w:rsidR="00CC37DD" w:rsidRPr="00CC37DD" w:rsidRDefault="00CC37DD" w:rsidP="00CC37DD">
      <w:pPr>
        <w:pStyle w:val="ListParagraph"/>
        <w:numPr>
          <w:ilvl w:val="0"/>
          <w:numId w:val="10"/>
        </w:numPr>
        <w:spacing w:before="0" w:after="0"/>
        <w:jc w:val="mediumKashida"/>
        <w:rPr>
          <w:rFonts w:eastAsia="Times New Roman" w:cs="Times New Roman"/>
          <w:szCs w:val="28"/>
        </w:rPr>
      </w:pPr>
      <w:r w:rsidRPr="00AF1BC0">
        <w:t>Lewis BR, Stern MR, Willmot DR. Maxillary anterior tooth size and arch dimensions in unilateral cleft lip and palate. Cleft Palate Craniofac J 2008; 45: 639-46.</w:t>
      </w:r>
    </w:p>
    <w:p w:rsidR="00623E44" w:rsidRPr="00A72720" w:rsidRDefault="00CC37DD" w:rsidP="00A72720">
      <w:pPr>
        <w:pStyle w:val="ListParagraph"/>
        <w:numPr>
          <w:ilvl w:val="0"/>
          <w:numId w:val="10"/>
        </w:numPr>
        <w:spacing w:before="0" w:after="0"/>
        <w:jc w:val="mediumKashida"/>
        <w:rPr>
          <w:rFonts w:eastAsia="Times New Roman" w:cs="Times New Roman"/>
          <w:szCs w:val="28"/>
        </w:rPr>
      </w:pPr>
      <w:r w:rsidRPr="00CC37DD">
        <w:rPr>
          <w:spacing w:val="-4"/>
        </w:rPr>
        <w:t>Athanasiou AE, Mazaheri M, Zarrinnia K. Frequency of crossbite in surgically treated cleft lip and/or palate children. J Pedod 1986; 10: 340-51.</w:t>
      </w:r>
    </w:p>
    <w:p w:rsidR="00623E44" w:rsidRPr="00D33B7A" w:rsidRDefault="00623E44" w:rsidP="00623E44">
      <w:pPr>
        <w:pStyle w:val="ListParagraph"/>
        <w:numPr>
          <w:ilvl w:val="0"/>
          <w:numId w:val="10"/>
        </w:numPr>
        <w:autoSpaceDE w:val="0"/>
        <w:autoSpaceDN w:val="0"/>
        <w:adjustRightInd w:val="0"/>
        <w:spacing w:before="0" w:after="0"/>
        <w:jc w:val="both"/>
      </w:pPr>
      <w:r>
        <w:t xml:space="preserve"> Shaw WC, Semb G, Nelson P,Brattstr</w:t>
      </w:r>
      <w:r w:rsidRPr="00464555">
        <w:rPr>
          <w:rFonts w:cs="Times New Roman"/>
          <w:sz w:val="18"/>
          <w:szCs w:val="14"/>
        </w:rPr>
        <w:t>Ö</w:t>
      </w:r>
      <w:r>
        <w:t>m V, M</w:t>
      </w:r>
      <w:r w:rsidRPr="00464555">
        <w:rPr>
          <w:rFonts w:cs="Times New Roman"/>
          <w:sz w:val="20"/>
          <w:szCs w:val="16"/>
        </w:rPr>
        <w:t>Ø</w:t>
      </w:r>
      <w:r w:rsidRPr="00464555">
        <w:rPr>
          <w:rFonts w:cs="Times New Roman"/>
        </w:rPr>
        <w:t xml:space="preserve">lsted </w:t>
      </w:r>
      <w:r>
        <w:rPr>
          <w:rFonts w:cs="Times New Roman"/>
        </w:rPr>
        <w:t>K, Prahl-Andersen B et al. The Eurocleft Project 1996-2000: overview. J Cranio-Maxillofac Surg 2001; 29:131-40.</w:t>
      </w:r>
    </w:p>
    <w:p w:rsidR="00623E44" w:rsidRPr="00507319" w:rsidRDefault="00623E44" w:rsidP="00623E44">
      <w:pPr>
        <w:pStyle w:val="ListParagraph"/>
        <w:numPr>
          <w:ilvl w:val="0"/>
          <w:numId w:val="10"/>
        </w:numPr>
        <w:autoSpaceDE w:val="0"/>
        <w:autoSpaceDN w:val="0"/>
        <w:adjustRightInd w:val="0"/>
        <w:spacing w:before="0" w:after="0"/>
        <w:jc w:val="both"/>
        <w:rPr>
          <w:rFonts w:cs="Times New Roman"/>
        </w:rPr>
      </w:pPr>
      <w:r>
        <w:rPr>
          <w:rFonts w:cs="Times New Roman"/>
        </w:rPr>
        <w:t xml:space="preserve"> Costello B, Ruiz R. Cleft lip and palate: Comprehensive treatment planning and primary repair. </w:t>
      </w:r>
      <w:r>
        <w:t>In: Miloro M, Ghali GE, Larsen PE, Waite P. Peterson’s principles of oral and maxillofacial surgery. Second ed. Hamilton: BC Decker inc; 2004, pp.839-58.</w:t>
      </w:r>
    </w:p>
    <w:p w:rsidR="00623E44" w:rsidRPr="00BD6681" w:rsidRDefault="00623E44" w:rsidP="00623E44">
      <w:pPr>
        <w:pStyle w:val="ListParagraph"/>
        <w:numPr>
          <w:ilvl w:val="0"/>
          <w:numId w:val="10"/>
        </w:numPr>
        <w:autoSpaceDE w:val="0"/>
        <w:autoSpaceDN w:val="0"/>
        <w:adjustRightInd w:val="0"/>
        <w:spacing w:before="0" w:after="0"/>
        <w:jc w:val="both"/>
      </w:pPr>
      <w:r w:rsidRPr="00507319">
        <w:rPr>
          <w:rFonts w:cs="Times New Roman"/>
        </w:rPr>
        <w:t xml:space="preserve"> Fudalej P, Hortis-Dzierzbicka M, Dudkiewicz Z, Semb G. Dental arch relationship in children with complete unilateral cleft lip and palate following Warsaw (one-stage repair) and Oslo protocols. Cleft Palate Craniofac J 2009; 46:648-53</w:t>
      </w:r>
      <w:r>
        <w:rPr>
          <w:rFonts w:cs="Times New Roman"/>
        </w:rPr>
        <w:t>.</w:t>
      </w:r>
    </w:p>
    <w:p w:rsidR="00623E44" w:rsidRDefault="00623E44" w:rsidP="00623E44">
      <w:pPr>
        <w:pStyle w:val="ListParagraph"/>
        <w:numPr>
          <w:ilvl w:val="0"/>
          <w:numId w:val="10"/>
        </w:numPr>
        <w:autoSpaceDE w:val="0"/>
        <w:autoSpaceDN w:val="0"/>
        <w:adjustRightInd w:val="0"/>
        <w:spacing w:before="0" w:after="0"/>
        <w:jc w:val="both"/>
        <w:rPr>
          <w:rStyle w:val="citation"/>
        </w:rPr>
      </w:pPr>
      <w:r>
        <w:rPr>
          <w:rStyle w:val="citation"/>
        </w:rPr>
        <w:t xml:space="preserve"> Millard RD. Extensions of the rotation-advancement principle for wide unilateral cleft lips. </w:t>
      </w:r>
      <w:r>
        <w:rPr>
          <w:rStyle w:val="ref-journal"/>
        </w:rPr>
        <w:t xml:space="preserve">Plast Reconstr Surg </w:t>
      </w:r>
      <w:r>
        <w:rPr>
          <w:rStyle w:val="citation"/>
        </w:rPr>
        <w:t xml:space="preserve">1968; </w:t>
      </w:r>
      <w:r>
        <w:rPr>
          <w:rStyle w:val="ref-vol"/>
        </w:rPr>
        <w:t>42</w:t>
      </w:r>
      <w:r>
        <w:rPr>
          <w:rStyle w:val="citation"/>
        </w:rPr>
        <w:t>:535–44.</w:t>
      </w:r>
    </w:p>
    <w:p w:rsidR="00623E44" w:rsidRPr="00117C50" w:rsidRDefault="00623E44" w:rsidP="00623E44">
      <w:pPr>
        <w:pStyle w:val="ListParagraph"/>
        <w:numPr>
          <w:ilvl w:val="0"/>
          <w:numId w:val="10"/>
        </w:numPr>
        <w:autoSpaceDE w:val="0"/>
        <w:autoSpaceDN w:val="0"/>
        <w:adjustRightInd w:val="0"/>
        <w:spacing w:before="0" w:after="0"/>
        <w:jc w:val="both"/>
      </w:pPr>
      <w:r>
        <w:t>Stewart TL, Fisher DM, Olson JL. Modified Von Langenbeck Cleft palate repair using an anterior t</w:t>
      </w:r>
      <w:r w:rsidRPr="00117C50">
        <w:t xml:space="preserve">riangular </w:t>
      </w:r>
      <w:r>
        <w:t>flap: decreased incidence of anterior oronasal f</w:t>
      </w:r>
      <w:r w:rsidRPr="00117C50">
        <w:t>istulas</w:t>
      </w:r>
      <w:r>
        <w:t xml:space="preserve">. </w:t>
      </w:r>
      <w:r>
        <w:rPr>
          <w:rFonts w:cs="Times New Roman"/>
        </w:rPr>
        <w:t>Cleft Palate Craniofac J 2009; 46:299-304.</w:t>
      </w:r>
    </w:p>
    <w:p w:rsidR="00623E44" w:rsidRPr="009D0BE9" w:rsidRDefault="00623E44" w:rsidP="00623E44">
      <w:pPr>
        <w:pStyle w:val="ListParagraph"/>
        <w:numPr>
          <w:ilvl w:val="0"/>
          <w:numId w:val="10"/>
        </w:numPr>
        <w:autoSpaceDE w:val="0"/>
        <w:autoSpaceDN w:val="0"/>
        <w:adjustRightInd w:val="0"/>
        <w:spacing w:before="0" w:after="0"/>
        <w:jc w:val="both"/>
      </w:pPr>
      <w:r>
        <w:t xml:space="preserve"> </w:t>
      </w:r>
      <w:r w:rsidRPr="009D0BE9">
        <w:t>Ross ML. A comparative model analysis of untreated cleft palate adults and normal adults. Am J Orthod 1962; 48:63</w:t>
      </w:r>
      <w:r>
        <w:t>-64</w:t>
      </w:r>
      <w:r w:rsidRPr="009D0BE9">
        <w:t>.</w:t>
      </w:r>
    </w:p>
    <w:p w:rsidR="00623E44" w:rsidRDefault="00623E44" w:rsidP="00623E44">
      <w:pPr>
        <w:pStyle w:val="ListParagraph"/>
        <w:numPr>
          <w:ilvl w:val="0"/>
          <w:numId w:val="10"/>
        </w:numPr>
        <w:autoSpaceDE w:val="0"/>
        <w:autoSpaceDN w:val="0"/>
        <w:adjustRightInd w:val="0"/>
        <w:spacing w:before="0" w:after="0"/>
        <w:jc w:val="both"/>
      </w:pPr>
      <w:r>
        <w:t xml:space="preserve"> Pruzansky S, Aduss H. Prevalence of arch collapse and malocclusion in complete unilateral cleft lip and palate. Rep Congr Eur Orthod Soc 1967; 43:365-82.</w:t>
      </w:r>
    </w:p>
    <w:p w:rsidR="00623E44" w:rsidRDefault="00623E44" w:rsidP="00623E44">
      <w:pPr>
        <w:pStyle w:val="ListParagraph"/>
        <w:numPr>
          <w:ilvl w:val="0"/>
          <w:numId w:val="10"/>
        </w:numPr>
        <w:autoSpaceDE w:val="0"/>
        <w:autoSpaceDN w:val="0"/>
        <w:adjustRightInd w:val="0"/>
        <w:spacing w:before="0" w:after="0"/>
        <w:jc w:val="both"/>
      </w:pPr>
      <w:r>
        <w:t xml:space="preserve"> Huddart AG, Bodenham RS. Maxillary arch dimensions in normal and unilateral cleft palate subjects. Cleft Palate J 1969; 6: 471-87.</w:t>
      </w:r>
    </w:p>
    <w:p w:rsidR="00623E44" w:rsidRDefault="00623E44" w:rsidP="00623E44">
      <w:pPr>
        <w:pStyle w:val="ListParagraph"/>
        <w:numPr>
          <w:ilvl w:val="0"/>
          <w:numId w:val="10"/>
        </w:numPr>
        <w:jc w:val="both"/>
      </w:pPr>
      <w:r>
        <w:t xml:space="preserve"> Huddart AG, Bodenham RS. The evaluation of arch form and occlusion in unilateral cleft palate subjects. Cleft Palate J 1972; 9:194-209.</w:t>
      </w:r>
    </w:p>
    <w:p w:rsidR="00623E44" w:rsidRDefault="00623E44" w:rsidP="00623E44">
      <w:pPr>
        <w:pStyle w:val="ListParagraph"/>
        <w:numPr>
          <w:ilvl w:val="0"/>
          <w:numId w:val="10"/>
        </w:numPr>
        <w:autoSpaceDE w:val="0"/>
        <w:autoSpaceDN w:val="0"/>
        <w:adjustRightInd w:val="0"/>
        <w:spacing w:before="0" w:after="0"/>
        <w:jc w:val="both"/>
      </w:pPr>
      <w:r>
        <w:t xml:space="preserve"> </w:t>
      </w:r>
      <w:r w:rsidRPr="00E30607">
        <w:t>Mossey PA, Clark JD, Gray D. Preliminary investigation of a modified Huddart/Bodenham scoring system for assessment of maxillary arch constriction in unilateral</w:t>
      </w:r>
      <w:r>
        <w:t xml:space="preserve"> cleft lip and palate subjects. Eur J Orthod 2003; 25: 251–</w:t>
      </w:r>
      <w:r w:rsidRPr="00E30607">
        <w:t>57.</w:t>
      </w:r>
    </w:p>
    <w:p w:rsidR="00623E44" w:rsidRDefault="00623E44" w:rsidP="00623E44">
      <w:pPr>
        <w:pStyle w:val="ListParagraph"/>
        <w:numPr>
          <w:ilvl w:val="0"/>
          <w:numId w:val="10"/>
        </w:numPr>
        <w:autoSpaceDE w:val="0"/>
        <w:autoSpaceDN w:val="0"/>
        <w:adjustRightInd w:val="0"/>
        <w:spacing w:before="0" w:after="0"/>
        <w:jc w:val="both"/>
      </w:pPr>
      <w:r>
        <w:rPr>
          <w:i/>
          <w:iCs/>
        </w:rPr>
        <w:t xml:space="preserve"> </w:t>
      </w:r>
      <w:r w:rsidRPr="008A5F8D">
        <w:t>Mars M, P</w:t>
      </w:r>
      <w:r>
        <w:t>lint DA, Houston WJ</w:t>
      </w:r>
      <w:r w:rsidRPr="008A5F8D">
        <w:t>B, Bergland O, Semb G</w:t>
      </w:r>
      <w:r>
        <w:t>.</w:t>
      </w:r>
      <w:r w:rsidRPr="008A5F8D">
        <w:t xml:space="preserve"> The Goslon Yardstick: a new system of assessing dental arch relationships in children with unilateral clefts of the lip and palate. Cleft Palate J 1987</w:t>
      </w:r>
      <w:r>
        <w:t xml:space="preserve">; </w:t>
      </w:r>
      <w:r w:rsidRPr="008A5F8D">
        <w:t>24: 314</w:t>
      </w:r>
      <w:r>
        <w:t>–</w:t>
      </w:r>
      <w:r w:rsidRPr="008A5F8D">
        <w:t>22</w:t>
      </w:r>
      <w:r>
        <w:t>.</w:t>
      </w:r>
    </w:p>
    <w:p w:rsidR="00623E44" w:rsidRPr="00E30607" w:rsidRDefault="00623E44" w:rsidP="00121AD2">
      <w:pPr>
        <w:pStyle w:val="ListParagraph"/>
        <w:numPr>
          <w:ilvl w:val="0"/>
          <w:numId w:val="10"/>
        </w:numPr>
        <w:autoSpaceDE w:val="0"/>
        <w:autoSpaceDN w:val="0"/>
        <w:adjustRightInd w:val="0"/>
        <w:spacing w:before="0" w:after="0"/>
        <w:jc w:val="both"/>
      </w:pPr>
      <w:r>
        <w:t xml:space="preserve"> </w:t>
      </w:r>
      <w:r w:rsidRPr="003D3C34">
        <w:t>Atack N, Hathorn I, Mars M, Sandy J</w:t>
      </w:r>
      <w:r w:rsidR="00121AD2">
        <w:t>.</w:t>
      </w:r>
      <w:r w:rsidRPr="003D3C34">
        <w:t xml:space="preserve">  Study models of 5 year old children as predictors of surgical outcome in unilateral cleft lip and palate. </w:t>
      </w:r>
      <w:r>
        <w:t>Eur J Orthod</w:t>
      </w:r>
      <w:r w:rsidR="00121AD2">
        <w:t xml:space="preserve"> 1997;</w:t>
      </w:r>
      <w:r>
        <w:t xml:space="preserve"> </w:t>
      </w:r>
      <w:r w:rsidRPr="003D3C34">
        <w:t>19: 165</w:t>
      </w:r>
      <w:r>
        <w:t>–</w:t>
      </w:r>
      <w:r w:rsidRPr="003D3C34">
        <w:t>70</w:t>
      </w:r>
    </w:p>
    <w:p w:rsidR="00623E44" w:rsidRPr="00BB16B3" w:rsidRDefault="00623E44" w:rsidP="00623E44">
      <w:pPr>
        <w:pStyle w:val="ListParagraph"/>
        <w:numPr>
          <w:ilvl w:val="0"/>
          <w:numId w:val="10"/>
        </w:numPr>
        <w:autoSpaceDE w:val="0"/>
        <w:autoSpaceDN w:val="0"/>
        <w:adjustRightInd w:val="0"/>
        <w:spacing w:before="0" w:after="0"/>
        <w:jc w:val="both"/>
      </w:pPr>
      <w:r w:rsidRPr="00DC5BC3">
        <w:t>Long RE, Hathaway R, Daskalogiannakis J, Merca</w:t>
      </w:r>
      <w:r>
        <w:t>do A, Russell K, Cohen M et al</w:t>
      </w:r>
      <w:r w:rsidRPr="00DC5BC3">
        <w:t>.</w:t>
      </w:r>
      <w:r>
        <w:t xml:space="preserve"> </w:t>
      </w:r>
      <w:r w:rsidRPr="00DC5BC3">
        <w:t>The americleft study: an inter-center study of treatment outcomes for patients</w:t>
      </w:r>
      <w:r>
        <w:t xml:space="preserve"> </w:t>
      </w:r>
      <w:r w:rsidRPr="00DC5BC3">
        <w:t>with unilateral cleft lip and palate part 1. Principles and study design. Cleft Palate</w:t>
      </w:r>
      <w:r>
        <w:t xml:space="preserve"> Craniofac J 2011; 48: 239-</w:t>
      </w:r>
      <w:r w:rsidRPr="00DC5BC3">
        <w:t>43.</w:t>
      </w:r>
    </w:p>
    <w:p w:rsidR="00623E44" w:rsidRPr="002F708E" w:rsidRDefault="00623E44" w:rsidP="00623E44">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t xml:space="preserve"> Jones J, Sadove AM, Dean JA, Huebener DV. Multidisciplinary team approach to cleft lip and palate management. In: McDonald R, Avery D, Dean J. Dentistry for the Child and Adolescent. Ninth ed. Missouri: Mosby; 2011, pp.550-60.</w:t>
      </w:r>
    </w:p>
    <w:p w:rsidR="0041058B" w:rsidRPr="00D07010" w:rsidRDefault="00BD2FBF" w:rsidP="00955AF3">
      <w:pPr>
        <w:pStyle w:val="ListParagraph"/>
        <w:numPr>
          <w:ilvl w:val="0"/>
          <w:numId w:val="10"/>
        </w:numPr>
        <w:autoSpaceDE w:val="0"/>
        <w:autoSpaceDN w:val="0"/>
        <w:adjustRightInd w:val="0"/>
        <w:spacing w:before="0" w:after="0"/>
        <w:jc w:val="both"/>
      </w:pPr>
      <w:hyperlink r:id="rId11" w:history="1">
        <w:r w:rsidR="00623E44" w:rsidRPr="00641F24">
          <w:t>El-Koutby MM</w:t>
        </w:r>
      </w:hyperlink>
      <w:r w:rsidR="00623E44" w:rsidRPr="00641F24">
        <w:t xml:space="preserve">, </w:t>
      </w:r>
      <w:hyperlink r:id="rId12" w:history="1">
        <w:r w:rsidR="00623E44" w:rsidRPr="00641F24">
          <w:t>Hafez SA</w:t>
        </w:r>
      </w:hyperlink>
      <w:r w:rsidR="00623E44" w:rsidRPr="00641F24">
        <w:t xml:space="preserve">. Prevalence of malocclusion in the primary and early mixed dentition in a group of Egyptian children with complete unilateral cleft lip and palate. </w:t>
      </w:r>
      <w:hyperlink r:id="rId13" w:tooltip="Egyptian dental journal." w:history="1">
        <w:r w:rsidR="00623E44" w:rsidRPr="00641F24">
          <w:rPr>
            <w:rStyle w:val="Hyperlink"/>
          </w:rPr>
          <w:t>Egypt Dent J</w:t>
        </w:r>
      </w:hyperlink>
      <w:r w:rsidR="00623E44">
        <w:t xml:space="preserve"> 1993; 39:479-84.</w:t>
      </w:r>
    </w:p>
    <w:p w:rsidR="007B29B6" w:rsidRPr="007B29B6" w:rsidRDefault="00623E44" w:rsidP="007B29B6">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rPr>
          <w:rFonts w:eastAsiaTheme="minorHAnsi" w:cs="Times New Roman"/>
          <w:szCs w:val="28"/>
        </w:rPr>
        <w:t xml:space="preserve">Dean J, McDonald R, Avery D. Management of the developing occlusion. </w:t>
      </w:r>
      <w:r>
        <w:t>In: McDonald R, Avery D, Dean J. Dentistry for the Child and Adolescent. Ninth ed. Missouri: Mosby; 2011, pp.550-60.</w:t>
      </w:r>
    </w:p>
    <w:p w:rsidR="007B29B6" w:rsidRDefault="007B29B6" w:rsidP="007B29B6">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rsidRPr="00811E93">
        <w:t xml:space="preserve">Reiser E. Cleft Size and Maxillary Arch Dimensions in Unilateral Cleft Lip and Palate and Cleft Palate. PhD Thesis, Faculty of Medicine, Uppsala University, </w:t>
      </w:r>
      <w:r>
        <w:t xml:space="preserve">Sweden, </w:t>
      </w:r>
      <w:r w:rsidRPr="00811E93">
        <w:t>2011.</w:t>
      </w:r>
    </w:p>
    <w:p w:rsidR="00BD5298" w:rsidRPr="00BD5298" w:rsidRDefault="007B29B6" w:rsidP="00BD5298">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rPr>
          <w:rFonts w:asciiTheme="majorBidi" w:hAnsiTheme="majorBidi" w:cstheme="majorBidi"/>
          <w:szCs w:val="28"/>
        </w:rPr>
        <w:t>Lavelle CL. The shape of dental arch. Am J Orthod 1975; 67: 176-84.</w:t>
      </w:r>
    </w:p>
    <w:p w:rsidR="00BD5298" w:rsidRPr="00BD5298" w:rsidRDefault="007B29B6" w:rsidP="00BD5298">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rsidRPr="00BD5298">
        <w:rPr>
          <w:rFonts w:asciiTheme="majorBidi" w:hAnsiTheme="majorBidi" w:cstheme="majorBidi"/>
          <w:szCs w:val="28"/>
        </w:rPr>
        <w:t>Sandy J, Williams A, Mildinhall S, Murphy T, Bearn D, Shaw B, et al. The Clinical Standards Advisory Group (CSAG) cleft lip and palate study. Br J Orthod 1998; 25: 21-30.</w:t>
      </w:r>
    </w:p>
    <w:p w:rsidR="00851501" w:rsidRPr="00851501" w:rsidRDefault="007B29B6" w:rsidP="00851501">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rsidRPr="00BD5298">
        <w:rPr>
          <w:rFonts w:asciiTheme="majorBidi" w:hAnsiTheme="majorBidi" w:cstheme="majorBidi"/>
          <w:szCs w:val="28"/>
        </w:rPr>
        <w:t xml:space="preserve">Alam MK, Kajii TS, Koshikawa-Mastuno M, Sugawara-Kato Y, Iida J. Multivariate analysis of factors affecting dental arch relationships in Japanese unilateral cleft lip and palate patients at Hokkaido University Hospital. Orthodontic Waves 2008; 67: 45-53. </w:t>
      </w:r>
    </w:p>
    <w:p w:rsidR="00851501" w:rsidRPr="00851501" w:rsidRDefault="00851501" w:rsidP="00851501">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rsidRPr="00AF6F8F">
        <w:t>Gray D, Mossey PA. Evaluation of a modified Huddart/Bodenham scoring system for assessment of maxillary arch constriction in unilateral cleft lip and palate subjects. Eur J Orthod 2005; 27: 507-11.</w:t>
      </w:r>
    </w:p>
    <w:p w:rsidR="007B29B6" w:rsidRPr="007B29B6" w:rsidRDefault="002A1FD9" w:rsidP="007B29B6">
      <w:pPr>
        <w:pStyle w:val="ListParagraph"/>
        <w:numPr>
          <w:ilvl w:val="0"/>
          <w:numId w:val="10"/>
        </w:numPr>
        <w:spacing w:before="100" w:beforeAutospacing="1" w:after="100" w:afterAutospacing="1"/>
        <w:jc w:val="both"/>
        <w:outlineLvl w:val="0"/>
        <w:rPr>
          <w:rFonts w:eastAsia="Times New Roman" w:cs="Times New Roman"/>
          <w:b/>
          <w:bCs/>
          <w:kern w:val="36"/>
          <w:sz w:val="48"/>
          <w:szCs w:val="48"/>
        </w:rPr>
      </w:pPr>
      <w:r w:rsidRPr="00D57728">
        <w:rPr>
          <w:rFonts w:asciiTheme="majorBidi" w:hAnsiTheme="majorBidi" w:cstheme="majorBidi"/>
          <w:szCs w:val="28"/>
        </w:rPr>
        <w:t>Stein S, Dunsche A, Gellrich NC, Härle F, Jonas I. One-or-Two- stage palate closure in patients with unilateral cleft lip and palate: Comparing cephalometric and occlusal outcomes. Cleft Palate Craniofac J 2007: 44; 13-22.</w:t>
      </w:r>
    </w:p>
    <w:p w:rsidR="00C87CDD" w:rsidRPr="007B29B6" w:rsidRDefault="00C87CDD" w:rsidP="007B29B6">
      <w:pPr>
        <w:spacing w:before="100" w:beforeAutospacing="1" w:after="100" w:afterAutospacing="1"/>
        <w:jc w:val="both"/>
        <w:outlineLvl w:val="0"/>
        <w:rPr>
          <w:rFonts w:eastAsia="Times New Roman" w:cs="Times New Roman"/>
          <w:b/>
          <w:bCs/>
          <w:kern w:val="36"/>
          <w:sz w:val="48"/>
          <w:szCs w:val="48"/>
        </w:rPr>
      </w:pPr>
    </w:p>
    <w:p w:rsidR="00623E44" w:rsidRDefault="00623E44" w:rsidP="00623E44">
      <w:pPr>
        <w:jc w:val="center"/>
        <w:rPr>
          <w:b/>
          <w:bCs/>
        </w:rPr>
      </w:pPr>
    </w:p>
    <w:p w:rsidR="00623E44" w:rsidRDefault="00623E44" w:rsidP="00623E44">
      <w:pPr>
        <w:jc w:val="center"/>
        <w:rPr>
          <w:b/>
          <w:bCs/>
        </w:rPr>
      </w:pPr>
    </w:p>
    <w:p w:rsidR="00623E44" w:rsidRDefault="00623E44" w:rsidP="00623E44">
      <w:pPr>
        <w:jc w:val="center"/>
        <w:rPr>
          <w:b/>
          <w:bCs/>
        </w:rPr>
      </w:pPr>
    </w:p>
    <w:p w:rsidR="00623E44" w:rsidRPr="00623E44" w:rsidRDefault="00623E44" w:rsidP="00623E44">
      <w:pPr>
        <w:rPr>
          <w:rFonts w:ascii="TimesNewRoman" w:eastAsiaTheme="minorHAnsi" w:hAnsi="TimesNewRoman" w:cs="TimesNewRoman"/>
          <w:b/>
          <w:bCs/>
          <w:szCs w:val="28"/>
        </w:rPr>
      </w:pPr>
    </w:p>
    <w:p w:rsidR="00623E44" w:rsidRPr="00623E44" w:rsidRDefault="00623E44" w:rsidP="00623E44">
      <w:pPr>
        <w:rPr>
          <w:rFonts w:ascii="TimesNewRoman" w:eastAsiaTheme="minorHAnsi" w:hAnsi="TimesNewRoman" w:cs="TimesNewRoman"/>
          <w:sz w:val="26"/>
          <w:szCs w:val="26"/>
        </w:rPr>
      </w:pPr>
    </w:p>
    <w:sectPr w:rsidR="00623E44" w:rsidRPr="00623E4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FBF" w:rsidRDefault="00BD2FBF" w:rsidP="00CC6DFA">
      <w:pPr>
        <w:spacing w:before="0" w:after="0" w:line="240" w:lineRule="auto"/>
      </w:pPr>
      <w:r>
        <w:separator/>
      </w:r>
    </w:p>
  </w:endnote>
  <w:endnote w:type="continuationSeparator" w:id="0">
    <w:p w:rsidR="00BD2FBF" w:rsidRDefault="00BD2FBF" w:rsidP="00CC6DF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FBF" w:rsidRDefault="00BD2FBF" w:rsidP="00CC6DFA">
      <w:pPr>
        <w:spacing w:before="0" w:after="0" w:line="240" w:lineRule="auto"/>
      </w:pPr>
      <w:r>
        <w:separator/>
      </w:r>
    </w:p>
  </w:footnote>
  <w:footnote w:type="continuationSeparator" w:id="0">
    <w:p w:rsidR="00BD2FBF" w:rsidRDefault="00BD2FBF" w:rsidP="00CC6DFA">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764AA"/>
    <w:multiLevelType w:val="hybridMultilevel"/>
    <w:tmpl w:val="233AE40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C1360"/>
    <w:multiLevelType w:val="hybridMultilevel"/>
    <w:tmpl w:val="D72A1A2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E776D2"/>
    <w:multiLevelType w:val="hybridMultilevel"/>
    <w:tmpl w:val="05E0D3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1F432D"/>
    <w:multiLevelType w:val="hybridMultilevel"/>
    <w:tmpl w:val="CBF87178"/>
    <w:lvl w:ilvl="0" w:tplc="04090001">
      <w:start w:val="1"/>
      <w:numFmt w:val="bullet"/>
      <w:lvlText w:val=""/>
      <w:lvlJc w:val="left"/>
      <w:pPr>
        <w:ind w:left="1920" w:hanging="360"/>
      </w:pPr>
      <w:rPr>
        <w:rFonts w:ascii="Symbol" w:hAnsi="Symbol" w:hint="default"/>
      </w:rPr>
    </w:lvl>
    <w:lvl w:ilvl="1" w:tplc="04090001">
      <w:start w:val="1"/>
      <w:numFmt w:val="bullet"/>
      <w:lvlText w:val=""/>
      <w:lvlJc w:val="left"/>
      <w:pPr>
        <w:ind w:left="644" w:hanging="360"/>
      </w:pPr>
      <w:rPr>
        <w:rFonts w:ascii="Symbol" w:hAnsi="Symbol" w:hint="default"/>
      </w:rPr>
    </w:lvl>
    <w:lvl w:ilvl="2" w:tplc="04090005">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nsid w:val="27AB01A1"/>
    <w:multiLevelType w:val="hybridMultilevel"/>
    <w:tmpl w:val="6CF688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BC133E"/>
    <w:multiLevelType w:val="hybridMultilevel"/>
    <w:tmpl w:val="B844AC9A"/>
    <w:lvl w:ilvl="0" w:tplc="2D6E5BEA">
      <w:start w:val="1"/>
      <w:numFmt w:val="bullet"/>
      <w:lvlText w:val="~"/>
      <w:lvlJc w:val="left"/>
      <w:pPr>
        <w:ind w:left="-130" w:hanging="360"/>
      </w:pPr>
      <w:rPr>
        <w:rFonts w:ascii="Times New Roman" w:hAnsi="Times New Roman" w:cs="Times New Roman" w:hint="default"/>
      </w:rPr>
    </w:lvl>
    <w:lvl w:ilvl="1" w:tplc="04090003">
      <w:start w:val="1"/>
      <w:numFmt w:val="bullet"/>
      <w:lvlText w:val="o"/>
      <w:lvlJc w:val="left"/>
      <w:pPr>
        <w:ind w:left="590" w:hanging="360"/>
      </w:pPr>
      <w:rPr>
        <w:rFonts w:ascii="Courier New" w:hAnsi="Courier New" w:cs="Courier New" w:hint="default"/>
      </w:rPr>
    </w:lvl>
    <w:lvl w:ilvl="2" w:tplc="04090005">
      <w:start w:val="1"/>
      <w:numFmt w:val="bullet"/>
      <w:lvlText w:val=""/>
      <w:lvlJc w:val="left"/>
      <w:pPr>
        <w:ind w:left="1310" w:hanging="360"/>
      </w:pPr>
      <w:rPr>
        <w:rFonts w:ascii="Wingdings" w:hAnsi="Wingdings" w:hint="default"/>
      </w:rPr>
    </w:lvl>
    <w:lvl w:ilvl="3" w:tplc="04090001" w:tentative="1">
      <w:start w:val="1"/>
      <w:numFmt w:val="bullet"/>
      <w:lvlText w:val=""/>
      <w:lvlJc w:val="left"/>
      <w:pPr>
        <w:ind w:left="2030" w:hanging="360"/>
      </w:pPr>
      <w:rPr>
        <w:rFonts w:ascii="Symbol" w:hAnsi="Symbol" w:hint="default"/>
      </w:rPr>
    </w:lvl>
    <w:lvl w:ilvl="4" w:tplc="04090003" w:tentative="1">
      <w:start w:val="1"/>
      <w:numFmt w:val="bullet"/>
      <w:lvlText w:val="o"/>
      <w:lvlJc w:val="left"/>
      <w:pPr>
        <w:ind w:left="2750" w:hanging="360"/>
      </w:pPr>
      <w:rPr>
        <w:rFonts w:ascii="Courier New" w:hAnsi="Courier New" w:cs="Courier New" w:hint="default"/>
      </w:rPr>
    </w:lvl>
    <w:lvl w:ilvl="5" w:tplc="04090005" w:tentative="1">
      <w:start w:val="1"/>
      <w:numFmt w:val="bullet"/>
      <w:lvlText w:val=""/>
      <w:lvlJc w:val="left"/>
      <w:pPr>
        <w:ind w:left="3470" w:hanging="360"/>
      </w:pPr>
      <w:rPr>
        <w:rFonts w:ascii="Wingdings" w:hAnsi="Wingdings" w:hint="default"/>
      </w:rPr>
    </w:lvl>
    <w:lvl w:ilvl="6" w:tplc="04090001" w:tentative="1">
      <w:start w:val="1"/>
      <w:numFmt w:val="bullet"/>
      <w:lvlText w:val=""/>
      <w:lvlJc w:val="left"/>
      <w:pPr>
        <w:ind w:left="4190" w:hanging="360"/>
      </w:pPr>
      <w:rPr>
        <w:rFonts w:ascii="Symbol" w:hAnsi="Symbol" w:hint="default"/>
      </w:rPr>
    </w:lvl>
    <w:lvl w:ilvl="7" w:tplc="04090003" w:tentative="1">
      <w:start w:val="1"/>
      <w:numFmt w:val="bullet"/>
      <w:lvlText w:val="o"/>
      <w:lvlJc w:val="left"/>
      <w:pPr>
        <w:ind w:left="4910" w:hanging="360"/>
      </w:pPr>
      <w:rPr>
        <w:rFonts w:ascii="Courier New" w:hAnsi="Courier New" w:cs="Courier New" w:hint="default"/>
      </w:rPr>
    </w:lvl>
    <w:lvl w:ilvl="8" w:tplc="04090005" w:tentative="1">
      <w:start w:val="1"/>
      <w:numFmt w:val="bullet"/>
      <w:lvlText w:val=""/>
      <w:lvlJc w:val="left"/>
      <w:pPr>
        <w:ind w:left="5630" w:hanging="360"/>
      </w:pPr>
      <w:rPr>
        <w:rFonts w:ascii="Wingdings" w:hAnsi="Wingdings" w:hint="default"/>
      </w:rPr>
    </w:lvl>
  </w:abstractNum>
  <w:abstractNum w:abstractNumId="6">
    <w:nsid w:val="34CC3AC6"/>
    <w:multiLevelType w:val="hybridMultilevel"/>
    <w:tmpl w:val="DBF499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B10268D"/>
    <w:multiLevelType w:val="hybridMultilevel"/>
    <w:tmpl w:val="6EE232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B55CE7"/>
    <w:multiLevelType w:val="hybridMultilevel"/>
    <w:tmpl w:val="8FFC3C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794958"/>
    <w:multiLevelType w:val="hybridMultilevel"/>
    <w:tmpl w:val="3A309072"/>
    <w:lvl w:ilvl="0" w:tplc="04090001">
      <w:start w:val="1"/>
      <w:numFmt w:val="bullet"/>
      <w:lvlText w:val=""/>
      <w:lvlJc w:val="left"/>
      <w:pPr>
        <w:ind w:left="1920" w:hanging="360"/>
      </w:pPr>
      <w:rPr>
        <w:rFonts w:ascii="Symbol" w:hAnsi="Symbol" w:hint="default"/>
      </w:rPr>
    </w:lvl>
    <w:lvl w:ilvl="1" w:tplc="04090003">
      <w:start w:val="1"/>
      <w:numFmt w:val="bullet"/>
      <w:lvlText w:val="o"/>
      <w:lvlJc w:val="left"/>
      <w:pPr>
        <w:ind w:left="644" w:hanging="360"/>
      </w:pPr>
      <w:rPr>
        <w:rFonts w:ascii="Courier New" w:hAnsi="Courier New" w:cs="Courier New" w:hint="default"/>
      </w:rPr>
    </w:lvl>
    <w:lvl w:ilvl="2" w:tplc="04090005">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0">
    <w:nsid w:val="54C60913"/>
    <w:multiLevelType w:val="hybridMultilevel"/>
    <w:tmpl w:val="8808196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8901AB"/>
    <w:multiLevelType w:val="hybridMultilevel"/>
    <w:tmpl w:val="5C86EBAC"/>
    <w:lvl w:ilvl="0" w:tplc="2D6E5BEA">
      <w:start w:val="1"/>
      <w:numFmt w:val="bullet"/>
      <w:lvlText w:val="~"/>
      <w:lvlJc w:val="left"/>
      <w:pPr>
        <w:ind w:left="1779" w:hanging="360"/>
      </w:pPr>
      <w:rPr>
        <w:rFonts w:ascii="Times New Roman" w:hAnsi="Times New Roman" w:cs="Times New Roman" w:hint="default"/>
      </w:rPr>
    </w:lvl>
    <w:lvl w:ilvl="1" w:tplc="04090003">
      <w:start w:val="1"/>
      <w:numFmt w:val="bullet"/>
      <w:lvlText w:val="o"/>
      <w:lvlJc w:val="left"/>
      <w:pPr>
        <w:ind w:left="1374" w:hanging="360"/>
      </w:pPr>
      <w:rPr>
        <w:rFonts w:ascii="Courier New" w:hAnsi="Courier New" w:cs="Courier New" w:hint="default"/>
      </w:rPr>
    </w:lvl>
    <w:lvl w:ilvl="2" w:tplc="04090005">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12">
    <w:nsid w:val="5BBF77EE"/>
    <w:multiLevelType w:val="hybridMultilevel"/>
    <w:tmpl w:val="68585642"/>
    <w:lvl w:ilvl="0" w:tplc="2D6E5BEA">
      <w:start w:val="1"/>
      <w:numFmt w:val="bullet"/>
      <w:lvlText w:val="~"/>
      <w:lvlJc w:val="left"/>
      <w:pPr>
        <w:ind w:left="786" w:hanging="360"/>
      </w:pPr>
      <w:rPr>
        <w:rFonts w:ascii="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3">
    <w:nsid w:val="5D5D063E"/>
    <w:multiLevelType w:val="hybridMultilevel"/>
    <w:tmpl w:val="34C4D4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26E7254"/>
    <w:multiLevelType w:val="hybridMultilevel"/>
    <w:tmpl w:val="B254D4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A83750"/>
    <w:multiLevelType w:val="hybridMultilevel"/>
    <w:tmpl w:val="6B3EA1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80C5A80"/>
    <w:multiLevelType w:val="hybridMultilevel"/>
    <w:tmpl w:val="4232F8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786B02"/>
    <w:multiLevelType w:val="hybridMultilevel"/>
    <w:tmpl w:val="85B88C7A"/>
    <w:lvl w:ilvl="0" w:tplc="93F25800">
      <w:start w:val="1"/>
      <w:numFmt w:val="decimal"/>
      <w:lvlText w:val="%1."/>
      <w:lvlJc w:val="left"/>
      <w:pPr>
        <w:ind w:left="360" w:hanging="360"/>
      </w:pPr>
      <w:rPr>
        <w:b w:val="0"/>
        <w:b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9"/>
  </w:num>
  <w:num w:numId="5">
    <w:abstractNumId w:val="10"/>
  </w:num>
  <w:num w:numId="6">
    <w:abstractNumId w:val="15"/>
  </w:num>
  <w:num w:numId="7">
    <w:abstractNumId w:val="11"/>
  </w:num>
  <w:num w:numId="8">
    <w:abstractNumId w:val="12"/>
  </w:num>
  <w:num w:numId="9">
    <w:abstractNumId w:val="3"/>
  </w:num>
  <w:num w:numId="10">
    <w:abstractNumId w:val="17"/>
  </w:num>
  <w:num w:numId="11">
    <w:abstractNumId w:val="6"/>
  </w:num>
  <w:num w:numId="12">
    <w:abstractNumId w:val="5"/>
  </w:num>
  <w:num w:numId="13">
    <w:abstractNumId w:val="16"/>
  </w:num>
  <w:num w:numId="14">
    <w:abstractNumId w:val="4"/>
  </w:num>
  <w:num w:numId="15">
    <w:abstractNumId w:val="8"/>
  </w:num>
  <w:num w:numId="16">
    <w:abstractNumId w:val="14"/>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9A4"/>
    <w:rsid w:val="00012A53"/>
    <w:rsid w:val="00074775"/>
    <w:rsid w:val="00080DBD"/>
    <w:rsid w:val="00081A57"/>
    <w:rsid w:val="00093D72"/>
    <w:rsid w:val="000A0F6C"/>
    <w:rsid w:val="000A114F"/>
    <w:rsid w:val="000F6976"/>
    <w:rsid w:val="00102411"/>
    <w:rsid w:val="00121AD2"/>
    <w:rsid w:val="001332DB"/>
    <w:rsid w:val="001437E8"/>
    <w:rsid w:val="00164720"/>
    <w:rsid w:val="00173251"/>
    <w:rsid w:val="001A713E"/>
    <w:rsid w:val="001B2EF9"/>
    <w:rsid w:val="001B64CE"/>
    <w:rsid w:val="001E3F7E"/>
    <w:rsid w:val="001E5E19"/>
    <w:rsid w:val="00222B02"/>
    <w:rsid w:val="00283924"/>
    <w:rsid w:val="002A1FD9"/>
    <w:rsid w:val="002F105A"/>
    <w:rsid w:val="00311DEB"/>
    <w:rsid w:val="00322363"/>
    <w:rsid w:val="00330478"/>
    <w:rsid w:val="003B07D5"/>
    <w:rsid w:val="0041058B"/>
    <w:rsid w:val="00475CD9"/>
    <w:rsid w:val="00484ED9"/>
    <w:rsid w:val="004910A0"/>
    <w:rsid w:val="004B057A"/>
    <w:rsid w:val="00551B84"/>
    <w:rsid w:val="00572ECC"/>
    <w:rsid w:val="005A6D49"/>
    <w:rsid w:val="005F0A29"/>
    <w:rsid w:val="00623E44"/>
    <w:rsid w:val="00654DAD"/>
    <w:rsid w:val="006906F1"/>
    <w:rsid w:val="006B7CD3"/>
    <w:rsid w:val="006C38F8"/>
    <w:rsid w:val="007865F0"/>
    <w:rsid w:val="00786755"/>
    <w:rsid w:val="007A1A75"/>
    <w:rsid w:val="007B29B6"/>
    <w:rsid w:val="007E0AA9"/>
    <w:rsid w:val="00804E96"/>
    <w:rsid w:val="00822093"/>
    <w:rsid w:val="00851501"/>
    <w:rsid w:val="008937DF"/>
    <w:rsid w:val="008B2D2D"/>
    <w:rsid w:val="008E2F73"/>
    <w:rsid w:val="008E39C4"/>
    <w:rsid w:val="00905080"/>
    <w:rsid w:val="00955AF3"/>
    <w:rsid w:val="00977B6A"/>
    <w:rsid w:val="009A0BD7"/>
    <w:rsid w:val="009D7E34"/>
    <w:rsid w:val="00A03034"/>
    <w:rsid w:val="00A14A62"/>
    <w:rsid w:val="00A30B32"/>
    <w:rsid w:val="00A33B3D"/>
    <w:rsid w:val="00A72720"/>
    <w:rsid w:val="00A8516B"/>
    <w:rsid w:val="00AB737E"/>
    <w:rsid w:val="00AC59CE"/>
    <w:rsid w:val="00AF0514"/>
    <w:rsid w:val="00B301A1"/>
    <w:rsid w:val="00B40640"/>
    <w:rsid w:val="00B41454"/>
    <w:rsid w:val="00BA6C56"/>
    <w:rsid w:val="00BD2FBF"/>
    <w:rsid w:val="00BD5298"/>
    <w:rsid w:val="00BF26CF"/>
    <w:rsid w:val="00C21B0D"/>
    <w:rsid w:val="00C3466F"/>
    <w:rsid w:val="00C47C83"/>
    <w:rsid w:val="00C65784"/>
    <w:rsid w:val="00C77134"/>
    <w:rsid w:val="00C87CDD"/>
    <w:rsid w:val="00C925D4"/>
    <w:rsid w:val="00CC37DD"/>
    <w:rsid w:val="00CC6DFA"/>
    <w:rsid w:val="00D169A4"/>
    <w:rsid w:val="00D24A3B"/>
    <w:rsid w:val="00E0028E"/>
    <w:rsid w:val="00E14FCC"/>
    <w:rsid w:val="00E168CE"/>
    <w:rsid w:val="00E63CEF"/>
    <w:rsid w:val="00E64AE0"/>
    <w:rsid w:val="00E82CB8"/>
    <w:rsid w:val="00ED761F"/>
    <w:rsid w:val="00F32C94"/>
    <w:rsid w:val="00F37565"/>
    <w:rsid w:val="00F84A1C"/>
    <w:rsid w:val="00F86E8E"/>
    <w:rsid w:val="00FD6834"/>
    <w:rsid w:val="00FD7669"/>
    <w:rsid w:val="00FF54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9A4"/>
    <w:pPr>
      <w:spacing w:before="120" w:after="320" w:line="360" w:lineRule="auto"/>
    </w:pPr>
    <w:rPr>
      <w:rFonts w:ascii="Times New Roman" w:eastAsia="Calibri" w:hAnsi="Times New Roman"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archterm2">
    <w:name w:val="searchterm2"/>
    <w:basedOn w:val="DefaultParagraphFont"/>
    <w:rsid w:val="00D169A4"/>
  </w:style>
  <w:style w:type="paragraph" w:styleId="ListParagraph">
    <w:name w:val="List Paragraph"/>
    <w:basedOn w:val="Normal"/>
    <w:uiPriority w:val="34"/>
    <w:qFormat/>
    <w:rsid w:val="00623E44"/>
    <w:pPr>
      <w:ind w:left="720"/>
      <w:contextualSpacing/>
    </w:pPr>
  </w:style>
  <w:style w:type="paragraph" w:styleId="NormalWeb">
    <w:name w:val="Normal (Web)"/>
    <w:basedOn w:val="Normal"/>
    <w:uiPriority w:val="99"/>
    <w:unhideWhenUsed/>
    <w:rsid w:val="00623E44"/>
    <w:pPr>
      <w:spacing w:before="100" w:beforeAutospacing="1" w:after="100" w:afterAutospacing="1" w:line="240" w:lineRule="auto"/>
    </w:pPr>
    <w:rPr>
      <w:rFonts w:eastAsia="Times New Roman" w:cs="Times New Roman"/>
      <w:sz w:val="24"/>
      <w:szCs w:val="24"/>
    </w:rPr>
  </w:style>
  <w:style w:type="character" w:customStyle="1" w:styleId="srch-add">
    <w:name w:val="srch-add"/>
    <w:basedOn w:val="DefaultParagraphFont"/>
    <w:rsid w:val="00623E44"/>
  </w:style>
  <w:style w:type="character" w:styleId="Hyperlink">
    <w:name w:val="Hyperlink"/>
    <w:basedOn w:val="DefaultParagraphFont"/>
    <w:uiPriority w:val="99"/>
    <w:unhideWhenUsed/>
    <w:rsid w:val="00623E44"/>
    <w:rPr>
      <w:color w:val="0000FF"/>
      <w:u w:val="single"/>
    </w:rPr>
  </w:style>
  <w:style w:type="character" w:customStyle="1" w:styleId="nlmarticle-title">
    <w:name w:val="nlm_article-title"/>
    <w:basedOn w:val="DefaultParagraphFont"/>
    <w:rsid w:val="00623E44"/>
  </w:style>
  <w:style w:type="character" w:customStyle="1" w:styleId="element-citation">
    <w:name w:val="element-citation"/>
    <w:basedOn w:val="DefaultParagraphFont"/>
    <w:rsid w:val="00623E44"/>
  </w:style>
  <w:style w:type="character" w:customStyle="1" w:styleId="ref-journal">
    <w:name w:val="ref-journal"/>
    <w:basedOn w:val="DefaultParagraphFont"/>
    <w:rsid w:val="00623E44"/>
  </w:style>
  <w:style w:type="character" w:customStyle="1" w:styleId="ref-vol">
    <w:name w:val="ref-vol"/>
    <w:basedOn w:val="DefaultParagraphFont"/>
    <w:rsid w:val="00623E44"/>
  </w:style>
  <w:style w:type="character" w:customStyle="1" w:styleId="citation">
    <w:name w:val="citation"/>
    <w:basedOn w:val="DefaultParagraphFont"/>
    <w:rsid w:val="00623E44"/>
  </w:style>
  <w:style w:type="paragraph" w:styleId="Header">
    <w:name w:val="header"/>
    <w:basedOn w:val="Normal"/>
    <w:link w:val="HeaderChar"/>
    <w:uiPriority w:val="99"/>
    <w:unhideWhenUsed/>
    <w:rsid w:val="00CC6DFA"/>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CC6DFA"/>
    <w:rPr>
      <w:rFonts w:ascii="Times New Roman" w:eastAsia="Calibri" w:hAnsi="Times New Roman" w:cs="Arial"/>
      <w:sz w:val="28"/>
    </w:rPr>
  </w:style>
  <w:style w:type="paragraph" w:styleId="Footer">
    <w:name w:val="footer"/>
    <w:basedOn w:val="Normal"/>
    <w:link w:val="FooterChar"/>
    <w:uiPriority w:val="99"/>
    <w:unhideWhenUsed/>
    <w:rsid w:val="00CC6DFA"/>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CC6DFA"/>
    <w:rPr>
      <w:rFonts w:ascii="Times New Roman" w:eastAsia="Calibri" w:hAnsi="Times New Roman" w:cs="Arial"/>
      <w:sz w:val="28"/>
    </w:rPr>
  </w:style>
  <w:style w:type="paragraph" w:styleId="BalloonText">
    <w:name w:val="Balloon Text"/>
    <w:basedOn w:val="Normal"/>
    <w:link w:val="BalloonTextChar"/>
    <w:uiPriority w:val="99"/>
    <w:semiHidden/>
    <w:unhideWhenUsed/>
    <w:rsid w:val="00CC6DFA"/>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DFA"/>
    <w:rPr>
      <w:rFonts w:ascii="Tahoma" w:eastAsia="Calibri" w:hAnsi="Tahoma" w:cs="Tahoma"/>
      <w:sz w:val="16"/>
      <w:szCs w:val="16"/>
    </w:rPr>
  </w:style>
  <w:style w:type="table" w:styleId="TableGrid">
    <w:name w:val="Table Grid"/>
    <w:basedOn w:val="TableNormal"/>
    <w:uiPriority w:val="59"/>
    <w:rsid w:val="00977B6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9A4"/>
    <w:pPr>
      <w:spacing w:before="120" w:after="320" w:line="360" w:lineRule="auto"/>
    </w:pPr>
    <w:rPr>
      <w:rFonts w:ascii="Times New Roman" w:eastAsia="Calibri" w:hAnsi="Times New Roman"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archterm2">
    <w:name w:val="searchterm2"/>
    <w:basedOn w:val="DefaultParagraphFont"/>
    <w:rsid w:val="00D169A4"/>
  </w:style>
  <w:style w:type="paragraph" w:styleId="ListParagraph">
    <w:name w:val="List Paragraph"/>
    <w:basedOn w:val="Normal"/>
    <w:uiPriority w:val="34"/>
    <w:qFormat/>
    <w:rsid w:val="00623E44"/>
    <w:pPr>
      <w:ind w:left="720"/>
      <w:contextualSpacing/>
    </w:pPr>
  </w:style>
  <w:style w:type="paragraph" w:styleId="NormalWeb">
    <w:name w:val="Normal (Web)"/>
    <w:basedOn w:val="Normal"/>
    <w:uiPriority w:val="99"/>
    <w:unhideWhenUsed/>
    <w:rsid w:val="00623E44"/>
    <w:pPr>
      <w:spacing w:before="100" w:beforeAutospacing="1" w:after="100" w:afterAutospacing="1" w:line="240" w:lineRule="auto"/>
    </w:pPr>
    <w:rPr>
      <w:rFonts w:eastAsia="Times New Roman" w:cs="Times New Roman"/>
      <w:sz w:val="24"/>
      <w:szCs w:val="24"/>
    </w:rPr>
  </w:style>
  <w:style w:type="character" w:customStyle="1" w:styleId="srch-add">
    <w:name w:val="srch-add"/>
    <w:basedOn w:val="DefaultParagraphFont"/>
    <w:rsid w:val="00623E44"/>
  </w:style>
  <w:style w:type="character" w:styleId="Hyperlink">
    <w:name w:val="Hyperlink"/>
    <w:basedOn w:val="DefaultParagraphFont"/>
    <w:uiPriority w:val="99"/>
    <w:unhideWhenUsed/>
    <w:rsid w:val="00623E44"/>
    <w:rPr>
      <w:color w:val="0000FF"/>
      <w:u w:val="single"/>
    </w:rPr>
  </w:style>
  <w:style w:type="character" w:customStyle="1" w:styleId="nlmarticle-title">
    <w:name w:val="nlm_article-title"/>
    <w:basedOn w:val="DefaultParagraphFont"/>
    <w:rsid w:val="00623E44"/>
  </w:style>
  <w:style w:type="character" w:customStyle="1" w:styleId="element-citation">
    <w:name w:val="element-citation"/>
    <w:basedOn w:val="DefaultParagraphFont"/>
    <w:rsid w:val="00623E44"/>
  </w:style>
  <w:style w:type="character" w:customStyle="1" w:styleId="ref-journal">
    <w:name w:val="ref-journal"/>
    <w:basedOn w:val="DefaultParagraphFont"/>
    <w:rsid w:val="00623E44"/>
  </w:style>
  <w:style w:type="character" w:customStyle="1" w:styleId="ref-vol">
    <w:name w:val="ref-vol"/>
    <w:basedOn w:val="DefaultParagraphFont"/>
    <w:rsid w:val="00623E44"/>
  </w:style>
  <w:style w:type="character" w:customStyle="1" w:styleId="citation">
    <w:name w:val="citation"/>
    <w:basedOn w:val="DefaultParagraphFont"/>
    <w:rsid w:val="00623E44"/>
  </w:style>
  <w:style w:type="paragraph" w:styleId="Header">
    <w:name w:val="header"/>
    <w:basedOn w:val="Normal"/>
    <w:link w:val="HeaderChar"/>
    <w:uiPriority w:val="99"/>
    <w:unhideWhenUsed/>
    <w:rsid w:val="00CC6DFA"/>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CC6DFA"/>
    <w:rPr>
      <w:rFonts w:ascii="Times New Roman" w:eastAsia="Calibri" w:hAnsi="Times New Roman" w:cs="Arial"/>
      <w:sz w:val="28"/>
    </w:rPr>
  </w:style>
  <w:style w:type="paragraph" w:styleId="Footer">
    <w:name w:val="footer"/>
    <w:basedOn w:val="Normal"/>
    <w:link w:val="FooterChar"/>
    <w:uiPriority w:val="99"/>
    <w:unhideWhenUsed/>
    <w:rsid w:val="00CC6DFA"/>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CC6DFA"/>
    <w:rPr>
      <w:rFonts w:ascii="Times New Roman" w:eastAsia="Calibri" w:hAnsi="Times New Roman" w:cs="Arial"/>
      <w:sz w:val="28"/>
    </w:rPr>
  </w:style>
  <w:style w:type="paragraph" w:styleId="BalloonText">
    <w:name w:val="Balloon Text"/>
    <w:basedOn w:val="Normal"/>
    <w:link w:val="BalloonTextChar"/>
    <w:uiPriority w:val="99"/>
    <w:semiHidden/>
    <w:unhideWhenUsed/>
    <w:rsid w:val="00CC6DFA"/>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DFA"/>
    <w:rPr>
      <w:rFonts w:ascii="Tahoma" w:eastAsia="Calibri" w:hAnsi="Tahoma" w:cs="Tahoma"/>
      <w:sz w:val="16"/>
      <w:szCs w:val="16"/>
    </w:rPr>
  </w:style>
  <w:style w:type="table" w:styleId="TableGrid">
    <w:name w:val="Table Grid"/>
    <w:basedOn w:val="TableNormal"/>
    <w:uiPriority w:val="59"/>
    <w:rsid w:val="00977B6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D:\thesis\9590974.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term=Hafez%20SA%5BAuthor%5D&amp;cauthor=true&amp;cauthor_uid=95909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term=el-Koutby%20MM%5BAuthor%5D&amp;cauthor=true&amp;cauthor_uid=959097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ho.int/oral_health/disease_burden/global/en/" TargetMode="External"/><Relationship Id="rId4" Type="http://schemas.openxmlformats.org/officeDocument/2006/relationships/settings" Target="settings.xml"/><Relationship Id="rId9" Type="http://schemas.openxmlformats.org/officeDocument/2006/relationships/hyperlink" Target="http://www.who.int/mediacentre/factsheets/fs318/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4232</Words>
  <Characters>24123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AHMADY</dc:creator>
  <cp:lastModifiedBy>style</cp:lastModifiedBy>
  <cp:revision>2</cp:revision>
  <dcterms:created xsi:type="dcterms:W3CDTF">2017-07-24T12:20:00Z</dcterms:created>
  <dcterms:modified xsi:type="dcterms:W3CDTF">2017-07-24T12:20:00Z</dcterms:modified>
</cp:coreProperties>
</file>