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135" w:rsidRPr="00312135" w:rsidRDefault="00312135" w:rsidP="00312135">
      <w:pPr>
        <w:spacing w:after="0" w:line="240" w:lineRule="auto"/>
        <w:jc w:val="center"/>
        <w:rPr>
          <w:rFonts w:ascii="Times New Roman" w:eastAsia="Calibri" w:hAnsi="Times New Roman" w:cs="Times New Roman"/>
          <w:b/>
          <w:bCs/>
          <w:sz w:val="24"/>
          <w:szCs w:val="24"/>
        </w:rPr>
      </w:pPr>
      <w:r w:rsidRPr="00312135">
        <w:rPr>
          <w:rFonts w:ascii="Times New Roman" w:eastAsia="Calibri" w:hAnsi="Times New Roman" w:cs="Times New Roman"/>
          <w:b/>
          <w:bCs/>
          <w:sz w:val="24"/>
          <w:szCs w:val="24"/>
        </w:rPr>
        <w:t xml:space="preserve">Clinical Evaluation </w:t>
      </w:r>
      <w:r>
        <w:rPr>
          <w:rFonts w:ascii="Times New Roman" w:eastAsia="Calibri" w:hAnsi="Times New Roman" w:cs="Times New Roman"/>
          <w:b/>
          <w:bCs/>
          <w:sz w:val="24"/>
          <w:szCs w:val="24"/>
        </w:rPr>
        <w:t>of</w:t>
      </w:r>
      <w:r w:rsidRPr="00312135">
        <w:rPr>
          <w:rFonts w:ascii="Times New Roman" w:eastAsia="Calibri" w:hAnsi="Times New Roman" w:cs="Times New Roman"/>
          <w:b/>
          <w:bCs/>
          <w:sz w:val="24"/>
          <w:szCs w:val="24"/>
        </w:rPr>
        <w:t xml:space="preserve"> Zirconia and Stainless Steel Crowns </w:t>
      </w:r>
    </w:p>
    <w:p w:rsidR="00312135" w:rsidRPr="00312135" w:rsidRDefault="00312135" w:rsidP="0031213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in Primary Molar</w:t>
      </w:r>
      <w:bookmarkStart w:id="0" w:name="_GoBack"/>
      <w:bookmarkEnd w:id="0"/>
      <w:r w:rsidRPr="00312135">
        <w:rPr>
          <w:rFonts w:ascii="Times New Roman" w:eastAsia="Calibri" w:hAnsi="Times New Roman" w:cs="Times New Roman"/>
          <w:b/>
          <w:bCs/>
          <w:sz w:val="24"/>
          <w:szCs w:val="24"/>
        </w:rPr>
        <w:t xml:space="preserve"> Teeth</w:t>
      </w:r>
    </w:p>
    <w:p w:rsidR="00312135" w:rsidRPr="00312135" w:rsidRDefault="00312135" w:rsidP="00312135">
      <w:pPr>
        <w:spacing w:after="0" w:line="240" w:lineRule="auto"/>
        <w:rPr>
          <w:rFonts w:ascii="Times New Roman" w:eastAsia="Calibri" w:hAnsi="Times New Roman" w:cs="Times New Roman"/>
          <w:b/>
          <w:bCs/>
          <w:sz w:val="24"/>
          <w:szCs w:val="24"/>
        </w:rPr>
      </w:pPr>
    </w:p>
    <w:p w:rsidR="00312135" w:rsidRPr="00312135" w:rsidRDefault="00312135" w:rsidP="00312135">
      <w:pPr>
        <w:spacing w:after="0" w:line="240" w:lineRule="auto"/>
        <w:rPr>
          <w:rFonts w:ascii="Times New Roman" w:eastAsia="Calibri" w:hAnsi="Times New Roman" w:cs="Times New Roman"/>
          <w:b/>
          <w:bCs/>
          <w:sz w:val="24"/>
          <w:szCs w:val="24"/>
        </w:rPr>
      </w:pPr>
      <w:r w:rsidRPr="00312135">
        <w:rPr>
          <w:rFonts w:ascii="Times New Roman" w:eastAsia="Calibri" w:hAnsi="Times New Roman" w:cs="Times New Roman"/>
          <w:b/>
          <w:bCs/>
          <w:sz w:val="24"/>
          <w:szCs w:val="24"/>
        </w:rPr>
        <w:t>Abstract:</w:t>
      </w:r>
    </w:p>
    <w:p w:rsidR="00312135" w:rsidRPr="00312135" w:rsidRDefault="00312135" w:rsidP="00312135">
      <w:pPr>
        <w:spacing w:after="0" w:line="240" w:lineRule="auto"/>
        <w:rPr>
          <w:rFonts w:ascii="Times New Roman" w:eastAsia="Calibri" w:hAnsi="Times New Roman" w:cs="Times New Roman"/>
          <w:b/>
          <w:bCs/>
          <w:sz w:val="24"/>
          <w:szCs w:val="24"/>
        </w:rPr>
      </w:pPr>
    </w:p>
    <w:p w:rsidR="00312135" w:rsidRPr="00312135" w:rsidRDefault="00312135" w:rsidP="00312135">
      <w:pPr>
        <w:widowControl w:val="0"/>
        <w:autoSpaceDE w:val="0"/>
        <w:autoSpaceDN w:val="0"/>
        <w:adjustRightInd w:val="0"/>
        <w:spacing w:after="0" w:line="360" w:lineRule="auto"/>
        <w:jc w:val="both"/>
        <w:rPr>
          <w:rFonts w:ascii="Times New Roman" w:eastAsia="Calibri" w:hAnsi="Times New Roman" w:cs="Times New Roman"/>
          <w:sz w:val="24"/>
          <w:szCs w:val="24"/>
        </w:rPr>
      </w:pPr>
      <w:r w:rsidRPr="00312135">
        <w:rPr>
          <w:rFonts w:ascii="Times New Roman" w:eastAsia="Calibri" w:hAnsi="Times New Roman" w:cs="Times New Roman"/>
          <w:b/>
          <w:bCs/>
          <w:sz w:val="24"/>
          <w:szCs w:val="24"/>
        </w:rPr>
        <w:t>Aim:</w:t>
      </w:r>
      <w:r w:rsidRPr="00312135">
        <w:rPr>
          <w:rFonts w:ascii="Times New Roman" w:eastAsia="Calibri" w:hAnsi="Times New Roman" w:cs="Times New Roman"/>
          <w:sz w:val="24"/>
          <w:szCs w:val="24"/>
        </w:rPr>
        <w:t xml:space="preserve"> This randomized clinical trial (RCT) compared the clinical outcomes of two full-coronal restorations (Stainless steel crowns SSCs and Zirconia crowns Nu/ZR) in carious primary molars teeth.</w:t>
      </w:r>
    </w:p>
    <w:p w:rsidR="00312135" w:rsidRPr="00312135" w:rsidRDefault="00312135" w:rsidP="00312135">
      <w:pPr>
        <w:spacing w:after="0" w:line="360" w:lineRule="auto"/>
        <w:jc w:val="both"/>
        <w:rPr>
          <w:rFonts w:ascii="Times New Roman" w:eastAsia="Times New Roman" w:hAnsi="Times New Roman" w:cs="Times New Roman"/>
          <w:sz w:val="24"/>
          <w:szCs w:val="24"/>
        </w:rPr>
      </w:pPr>
    </w:p>
    <w:p w:rsidR="00312135" w:rsidRPr="00312135" w:rsidRDefault="00312135" w:rsidP="00312135">
      <w:pPr>
        <w:spacing w:after="0" w:line="360" w:lineRule="auto"/>
        <w:jc w:val="both"/>
        <w:rPr>
          <w:rFonts w:ascii="Times New Roman" w:eastAsia="Calibri" w:hAnsi="Times New Roman" w:cs="Times New Roman"/>
          <w:sz w:val="24"/>
          <w:szCs w:val="24"/>
        </w:rPr>
      </w:pPr>
      <w:r w:rsidRPr="00312135">
        <w:rPr>
          <w:rFonts w:ascii="Times New Roman" w:eastAsia="Times New Roman" w:hAnsi="Times New Roman" w:cs="Times New Roman"/>
          <w:b/>
          <w:bCs/>
          <w:sz w:val="24"/>
          <w:szCs w:val="24"/>
        </w:rPr>
        <w:t>Materials and Methods:</w:t>
      </w:r>
      <w:r w:rsidRPr="00312135">
        <w:rPr>
          <w:rFonts w:ascii="Times New Roman" w:eastAsia="Times New Roman" w:hAnsi="Times New Roman" w:cs="Times New Roman"/>
          <w:sz w:val="24"/>
          <w:szCs w:val="24"/>
        </w:rPr>
        <w:t xml:space="preserve"> </w:t>
      </w:r>
      <w:r w:rsidRPr="00312135">
        <w:rPr>
          <w:rFonts w:ascii="Times New Roman" w:eastAsia="Calibri" w:hAnsi="Times New Roman" w:cs="Times New Roman"/>
          <w:sz w:val="24"/>
          <w:szCs w:val="24"/>
        </w:rPr>
        <w:t xml:space="preserve">Children attending the King Abdulaziz University, Faculty of Dentistry (KAUFD) clinics who need restorations will be screened for inclusion criteria till 120 teeth are recruited (60 teeth for SSC restorations and 60 for Nu/ZR restorations). Split mouth technique will be used to ensure equalizing variables for both groups. </w:t>
      </w:r>
    </w:p>
    <w:p w:rsidR="00312135" w:rsidRPr="00312135" w:rsidRDefault="00312135" w:rsidP="00312135">
      <w:pPr>
        <w:spacing w:after="0" w:line="360" w:lineRule="auto"/>
        <w:jc w:val="both"/>
        <w:rPr>
          <w:rFonts w:ascii="Times New Roman" w:eastAsia="Calibri" w:hAnsi="Times New Roman" w:cs="Times New Roman"/>
          <w:sz w:val="24"/>
          <w:szCs w:val="24"/>
        </w:rPr>
      </w:pPr>
      <w:r w:rsidRPr="00312135">
        <w:rPr>
          <w:rFonts w:ascii="Times New Roman" w:eastAsia="Calibri" w:hAnsi="Times New Roman" w:cs="Times New Roman"/>
          <w:sz w:val="24"/>
          <w:szCs w:val="24"/>
        </w:rPr>
        <w:t>Randomization will be done using SPSS software version 20.0 (Armonk, NY; IBM Corp.). A simple descriptive statistic will be used for analysis by Wilcoxon Signed-Rank test.</w:t>
      </w:r>
      <w:r w:rsidRPr="00312135">
        <w:rPr>
          <w:rFonts w:ascii="Times New Roman" w:eastAsia="Calibri" w:hAnsi="Times New Roman" w:cs="Times New Roman"/>
          <w:sz w:val="24"/>
          <w:szCs w:val="24"/>
          <w:rtl/>
        </w:rPr>
        <w:t xml:space="preserve"> </w:t>
      </w:r>
      <w:r w:rsidRPr="00312135">
        <w:rPr>
          <w:rFonts w:ascii="Times New Roman" w:eastAsia="Calibri" w:hAnsi="Times New Roman" w:cs="Times New Roman"/>
          <w:sz w:val="24"/>
          <w:szCs w:val="24"/>
        </w:rPr>
        <w:t>Level of significance will be set at (α = 0.05) and level of confidence at (95%).</w:t>
      </w:r>
    </w:p>
    <w:p w:rsidR="00312135" w:rsidRPr="00312135" w:rsidRDefault="00312135" w:rsidP="00312135">
      <w:pPr>
        <w:widowControl w:val="0"/>
        <w:autoSpaceDE w:val="0"/>
        <w:autoSpaceDN w:val="0"/>
        <w:adjustRightInd w:val="0"/>
        <w:spacing w:after="0" w:line="360" w:lineRule="auto"/>
        <w:jc w:val="both"/>
        <w:rPr>
          <w:rFonts w:ascii="Times New Roman" w:eastAsia="Calibri" w:hAnsi="Times New Roman" w:cs="Times New Roman"/>
          <w:sz w:val="24"/>
          <w:szCs w:val="24"/>
        </w:rPr>
      </w:pPr>
    </w:p>
    <w:p w:rsidR="00312135" w:rsidRPr="00312135" w:rsidRDefault="00312135" w:rsidP="00312135">
      <w:pPr>
        <w:spacing w:after="0" w:line="360" w:lineRule="auto"/>
        <w:jc w:val="both"/>
        <w:rPr>
          <w:rFonts w:ascii="Times New Roman" w:eastAsia="Calibri" w:hAnsi="Times New Roman" w:cs="Times New Roman"/>
          <w:sz w:val="24"/>
          <w:szCs w:val="24"/>
        </w:rPr>
      </w:pPr>
      <w:r w:rsidRPr="00312135">
        <w:rPr>
          <w:rFonts w:ascii="Times New Roman" w:eastAsia="Calibri" w:hAnsi="Times New Roman" w:cs="Times New Roman"/>
          <w:b/>
          <w:bCs/>
          <w:sz w:val="24"/>
          <w:szCs w:val="24"/>
        </w:rPr>
        <w:t>Results:</w:t>
      </w:r>
      <w:r w:rsidRPr="00312135">
        <w:rPr>
          <w:rFonts w:ascii="Times New Roman" w:eastAsia="Calibri" w:hAnsi="Times New Roman" w:cs="Times New Roman"/>
          <w:sz w:val="24"/>
          <w:szCs w:val="24"/>
        </w:rPr>
        <w:t xml:space="preserve"> While looking at the improvements in gingival health relative to interventions, both Zirconia and SSC have significant changes through all time points. However, Zirconia performed better at the 3rd month with 80% compared to SSC with only 13.3% improvement with p-value&lt;0.001 and 0.005 respectively.</w:t>
      </w:r>
    </w:p>
    <w:p w:rsidR="00312135" w:rsidRPr="00312135" w:rsidRDefault="00312135" w:rsidP="00312135">
      <w:pPr>
        <w:spacing w:after="0" w:line="360" w:lineRule="auto"/>
        <w:jc w:val="both"/>
        <w:rPr>
          <w:rFonts w:ascii="Times New Roman" w:eastAsia="Calibri" w:hAnsi="Times New Roman" w:cs="Times New Roman"/>
          <w:sz w:val="24"/>
          <w:szCs w:val="24"/>
        </w:rPr>
      </w:pPr>
      <w:r w:rsidRPr="00312135">
        <w:rPr>
          <w:rFonts w:ascii="Times New Roman" w:eastAsia="Calibri" w:hAnsi="Times New Roman" w:cs="Times New Roman"/>
          <w:sz w:val="24"/>
          <w:szCs w:val="24"/>
        </w:rPr>
        <w:t xml:space="preserve">At 6th month all samples under group Zirconia already improved while only 73.3% from SSC show improvement.  The remaining samples happened to have positive changes at the 12th month. Regarding the plaque retention also the Zirconia Crowns shows improve performance than SSC. </w:t>
      </w:r>
    </w:p>
    <w:p w:rsidR="00312135" w:rsidRPr="00312135" w:rsidRDefault="00312135" w:rsidP="00312135">
      <w:pPr>
        <w:widowControl w:val="0"/>
        <w:suppressAutoHyphens/>
        <w:autoSpaceDN w:val="0"/>
        <w:spacing w:before="240" w:after="0" w:line="360" w:lineRule="auto"/>
        <w:jc w:val="both"/>
        <w:textAlignment w:val="baseline"/>
        <w:rPr>
          <w:rFonts w:ascii="Times New Roman" w:eastAsia="Calibri" w:hAnsi="Times New Roman" w:cs="Times New Roman"/>
          <w:sz w:val="24"/>
          <w:szCs w:val="24"/>
        </w:rPr>
      </w:pPr>
      <w:r w:rsidRPr="00312135">
        <w:rPr>
          <w:rFonts w:ascii="Times New Roman" w:eastAsia="Times New Roman" w:hAnsi="Times New Roman" w:cs="Times New Roman"/>
          <w:b/>
          <w:bCs/>
          <w:kern w:val="3"/>
          <w:sz w:val="24"/>
          <w:szCs w:val="24"/>
          <w:lang w:val="en-GB" w:eastAsia="en-GB"/>
        </w:rPr>
        <w:t>Conclusion:</w:t>
      </w:r>
      <w:r w:rsidRPr="00312135">
        <w:rPr>
          <w:rFonts w:ascii="Times New Roman" w:eastAsia="Times New Roman" w:hAnsi="Times New Roman" w:cs="Times New Roman"/>
          <w:b/>
          <w:bCs/>
          <w:kern w:val="3"/>
          <w:sz w:val="28"/>
          <w:szCs w:val="24"/>
          <w:lang w:val="en-GB" w:eastAsia="en-GB"/>
        </w:rPr>
        <w:t xml:space="preserve"> </w:t>
      </w:r>
      <w:r w:rsidRPr="00312135">
        <w:rPr>
          <w:rFonts w:ascii="Times New Roman" w:eastAsia="Calibri" w:hAnsi="Times New Roman" w:cs="Times New Roman"/>
          <w:sz w:val="24"/>
          <w:szCs w:val="24"/>
        </w:rPr>
        <w:t>As both SSC and Zirconia crowns presented to be excellent choice for posterior teeth restorations, however we can conclude that Zirconia crowns performed better regarding gingival response to the material of restoration and plaque retention despite its high cost.</w:t>
      </w:r>
    </w:p>
    <w:p w:rsidR="00312135" w:rsidRPr="00312135" w:rsidRDefault="00312135" w:rsidP="00312135">
      <w:pPr>
        <w:widowControl w:val="0"/>
        <w:autoSpaceDE w:val="0"/>
        <w:autoSpaceDN w:val="0"/>
        <w:adjustRightInd w:val="0"/>
        <w:spacing w:after="0" w:line="360" w:lineRule="auto"/>
        <w:jc w:val="both"/>
        <w:rPr>
          <w:rFonts w:ascii="Times New Roman" w:eastAsia="Calibri" w:hAnsi="Times New Roman" w:cs="Times New Roman"/>
          <w:b/>
          <w:bCs/>
          <w:sz w:val="24"/>
          <w:szCs w:val="24"/>
        </w:rPr>
      </w:pPr>
    </w:p>
    <w:p w:rsidR="00312135" w:rsidRPr="00312135" w:rsidRDefault="00312135" w:rsidP="00312135">
      <w:pPr>
        <w:spacing w:after="0" w:line="240" w:lineRule="auto"/>
        <w:rPr>
          <w:rFonts w:ascii="Calibri" w:eastAsia="Calibri" w:hAnsi="Calibri" w:cs="Arial"/>
          <w:sz w:val="24"/>
          <w:szCs w:val="24"/>
        </w:rPr>
      </w:pPr>
    </w:p>
    <w:p w:rsidR="00312135" w:rsidRPr="00312135" w:rsidRDefault="00312135" w:rsidP="00312135">
      <w:pPr>
        <w:spacing w:after="0" w:line="240" w:lineRule="auto"/>
        <w:rPr>
          <w:rFonts w:ascii="Times New Roman" w:eastAsia="Calibri" w:hAnsi="Times New Roman" w:cs="Times New Roman"/>
          <w:b/>
          <w:bCs/>
          <w:sz w:val="24"/>
          <w:szCs w:val="24"/>
        </w:rPr>
      </w:pPr>
      <w:r w:rsidRPr="00312135">
        <w:rPr>
          <w:rFonts w:ascii="Times New Roman" w:eastAsia="Calibri" w:hAnsi="Times New Roman" w:cs="Times New Roman"/>
          <w:b/>
          <w:bCs/>
          <w:sz w:val="24"/>
          <w:szCs w:val="24"/>
        </w:rPr>
        <w:br w:type="page"/>
      </w:r>
    </w:p>
    <w:p w:rsidR="00B37F15" w:rsidRDefault="00312135"/>
    <w:sectPr w:rsidR="00B37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135"/>
    <w:rsid w:val="00312135"/>
    <w:rsid w:val="00312F6A"/>
    <w:rsid w:val="003F1F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MayaRakanFarah</dc:creator>
  <cp:lastModifiedBy>MayaRakanFarah</cp:lastModifiedBy>
  <cp:revision>1</cp:revision>
  <dcterms:created xsi:type="dcterms:W3CDTF">2017-07-02T13:32:00Z</dcterms:created>
  <dcterms:modified xsi:type="dcterms:W3CDTF">2017-07-02T13:34:00Z</dcterms:modified>
</cp:coreProperties>
</file>