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A32" w:rsidRDefault="00BC4A32" w:rsidP="00BC4A32">
      <w:pPr>
        <w:jc w:val="center"/>
        <w:rPr>
          <w:b/>
          <w:sz w:val="28"/>
          <w:szCs w:val="28"/>
        </w:rPr>
      </w:pPr>
      <w:r w:rsidRPr="00BC4A32">
        <w:rPr>
          <w:b/>
          <w:sz w:val="28"/>
          <w:szCs w:val="28"/>
        </w:rPr>
        <w:t xml:space="preserve">The </w:t>
      </w:r>
      <w:r w:rsidR="00C55615">
        <w:rPr>
          <w:b/>
          <w:sz w:val="28"/>
          <w:szCs w:val="28"/>
        </w:rPr>
        <w:t>I</w:t>
      </w:r>
      <w:r>
        <w:rPr>
          <w:b/>
          <w:sz w:val="28"/>
          <w:szCs w:val="28"/>
        </w:rPr>
        <w:t>nfluence</w:t>
      </w:r>
      <w:r w:rsidR="00C55615">
        <w:rPr>
          <w:b/>
          <w:sz w:val="28"/>
          <w:szCs w:val="28"/>
        </w:rPr>
        <w:t xml:space="preserve"> of G</w:t>
      </w:r>
      <w:r w:rsidRPr="00BC4A32">
        <w:rPr>
          <w:b/>
          <w:sz w:val="28"/>
          <w:szCs w:val="28"/>
        </w:rPr>
        <w:t xml:space="preserve">ender on </w:t>
      </w:r>
      <w:r w:rsidR="00C55615">
        <w:rPr>
          <w:b/>
          <w:sz w:val="28"/>
          <w:szCs w:val="28"/>
        </w:rPr>
        <w:t>Performance of Common Clinical Procedures in an Acute Irish H</w:t>
      </w:r>
      <w:r w:rsidRPr="00BC4A32">
        <w:rPr>
          <w:b/>
          <w:sz w:val="28"/>
          <w:szCs w:val="28"/>
        </w:rPr>
        <w:t>ospital</w:t>
      </w:r>
    </w:p>
    <w:p w:rsidR="00BC4A32" w:rsidRDefault="00BC4A32" w:rsidP="00BC4A32">
      <w:pPr>
        <w:jc w:val="center"/>
        <w:rPr>
          <w:rFonts w:ascii="Times New Roman" w:hAnsi="Times New Roman" w:cs="Times New Roman"/>
          <w:sz w:val="24"/>
          <w:u w:val="single"/>
          <w:vertAlign w:val="superscript"/>
        </w:rPr>
      </w:pPr>
      <w:r>
        <w:rPr>
          <w:rFonts w:ascii="Times New Roman" w:hAnsi="Times New Roman" w:cs="Times New Roman"/>
          <w:sz w:val="24"/>
          <w:u w:val="single"/>
        </w:rPr>
        <w:t xml:space="preserve">Dr. </w:t>
      </w:r>
      <w:proofErr w:type="spellStart"/>
      <w:r>
        <w:rPr>
          <w:rFonts w:ascii="Times New Roman" w:hAnsi="Times New Roman" w:cs="Times New Roman"/>
          <w:sz w:val="24"/>
          <w:u w:val="single"/>
        </w:rPr>
        <w:t>Domhnall</w:t>
      </w:r>
      <w:proofErr w:type="spellEnd"/>
      <w:r>
        <w:rPr>
          <w:rFonts w:ascii="Times New Roman" w:hAnsi="Times New Roman" w:cs="Times New Roman"/>
          <w:sz w:val="24"/>
          <w:u w:val="single"/>
        </w:rPr>
        <w:t xml:space="preserve"> McGlacken-Byrne</w:t>
      </w:r>
      <w:r>
        <w:rPr>
          <w:rFonts w:ascii="Times New Roman" w:hAnsi="Times New Roman" w:cs="Times New Roman"/>
          <w:sz w:val="24"/>
          <w:u w:val="single"/>
          <w:vertAlign w:val="superscript"/>
        </w:rPr>
        <w:t>1</w:t>
      </w:r>
      <w:proofErr w:type="gramStart"/>
      <w:r>
        <w:rPr>
          <w:rFonts w:ascii="Times New Roman" w:hAnsi="Times New Roman" w:cs="Times New Roman"/>
          <w:sz w:val="24"/>
          <w:u w:val="single"/>
          <w:vertAlign w:val="superscript"/>
        </w:rPr>
        <w:t>,2</w:t>
      </w:r>
      <w:proofErr w:type="gramEnd"/>
      <w:r w:rsidRPr="0028059F">
        <w:rPr>
          <w:rFonts w:ascii="Times New Roman" w:hAnsi="Times New Roman" w:cs="Times New Roman"/>
          <w:sz w:val="24"/>
          <w:u w:val="single"/>
        </w:rPr>
        <w:t>,</w:t>
      </w:r>
      <w:r>
        <w:rPr>
          <w:rFonts w:ascii="Times New Roman" w:hAnsi="Times New Roman" w:cs="Times New Roman"/>
          <w:sz w:val="24"/>
          <w:u w:val="single"/>
        </w:rPr>
        <w:t xml:space="preserve"> Dr. Lucy Chapman</w:t>
      </w:r>
      <w:r>
        <w:rPr>
          <w:rFonts w:ascii="Times New Roman" w:hAnsi="Times New Roman" w:cs="Times New Roman"/>
          <w:sz w:val="24"/>
          <w:u w:val="single"/>
          <w:vertAlign w:val="superscript"/>
        </w:rPr>
        <w:t>1</w:t>
      </w:r>
      <w:r>
        <w:rPr>
          <w:rFonts w:ascii="Times New Roman" w:hAnsi="Times New Roman" w:cs="Times New Roman"/>
          <w:sz w:val="24"/>
          <w:u w:val="single"/>
        </w:rPr>
        <w:t>, Jack Tyrell</w:t>
      </w:r>
      <w:r>
        <w:rPr>
          <w:rFonts w:ascii="Times New Roman" w:hAnsi="Times New Roman" w:cs="Times New Roman"/>
          <w:sz w:val="24"/>
          <w:u w:val="single"/>
          <w:vertAlign w:val="superscript"/>
        </w:rPr>
        <w:t>2</w:t>
      </w:r>
    </w:p>
    <w:p w:rsidR="000779C8" w:rsidRDefault="000779C8" w:rsidP="00BC4A32">
      <w:pPr>
        <w:jc w:val="center"/>
        <w:rPr>
          <w:rFonts w:ascii="Times New Roman" w:hAnsi="Times New Roman" w:cs="Times New Roman"/>
          <w:sz w:val="24"/>
          <w:u w:val="single"/>
          <w:vertAlign w:val="superscript"/>
        </w:rPr>
      </w:pPr>
    </w:p>
    <w:p w:rsidR="00BC4A32" w:rsidRPr="00435234" w:rsidRDefault="00BC4A32" w:rsidP="00BC4A32">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i/>
          <w:iCs/>
          <w:sz w:val="24"/>
        </w:rPr>
        <w:t>St. James’s Hospital, Dublin 8, Ireland</w:t>
      </w:r>
      <w:r w:rsidRPr="00435234">
        <w:rPr>
          <w:rFonts w:ascii="Times New Roman" w:hAnsi="Times New Roman" w:cs="Times New Roman"/>
          <w:i/>
          <w:iCs/>
          <w:sz w:val="24"/>
        </w:rPr>
        <w:t xml:space="preserve"> </w:t>
      </w:r>
    </w:p>
    <w:p w:rsidR="00BC4A32" w:rsidRPr="00435234" w:rsidRDefault="00BC4A32" w:rsidP="00BC4A32">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rPr>
        <w:t>Trinity College Dublin, Dublin 2, Ireland</w:t>
      </w:r>
    </w:p>
    <w:p w:rsidR="00BC4A32" w:rsidRDefault="00BC4A32" w:rsidP="00BC4A32">
      <w:pPr>
        <w:rPr>
          <w:rFonts w:ascii="Times New Roman" w:hAnsi="Times New Roman" w:cs="Times New Roman"/>
          <w:i/>
          <w:iCs/>
          <w:sz w:val="24"/>
        </w:rPr>
      </w:pPr>
    </w:p>
    <w:p w:rsidR="000779C8" w:rsidRDefault="000779C8" w:rsidP="00BC4A32">
      <w:pPr>
        <w:rPr>
          <w:rFonts w:ascii="Times New Roman" w:hAnsi="Times New Roman" w:cs="Times New Roman"/>
          <w:i/>
          <w:iCs/>
          <w:sz w:val="24"/>
        </w:rPr>
      </w:pPr>
    </w:p>
    <w:p w:rsidR="00BC4A32" w:rsidRDefault="00BC4A32" w:rsidP="00BC4A32">
      <w:pPr>
        <w:rPr>
          <w:sz w:val="28"/>
          <w:szCs w:val="28"/>
        </w:rPr>
      </w:pPr>
      <w:r w:rsidRPr="007E4A83">
        <w:rPr>
          <w:b/>
        </w:rPr>
        <w:t xml:space="preserve">Key Words </w:t>
      </w:r>
      <w:r>
        <w:rPr>
          <w:b/>
        </w:rPr>
        <w:t xml:space="preserve">– </w:t>
      </w:r>
      <w:r w:rsidRPr="00BC4A32">
        <w:rPr>
          <w:i/>
        </w:rPr>
        <w:t>gender differences, healthcare, task completion</w:t>
      </w:r>
    </w:p>
    <w:p w:rsidR="00BC4A32" w:rsidRPr="00BC4A32" w:rsidRDefault="00BC4A32" w:rsidP="00BC4A32">
      <w:pPr>
        <w:rPr>
          <w:sz w:val="8"/>
          <w:szCs w:val="8"/>
        </w:rPr>
      </w:pPr>
    </w:p>
    <w:p w:rsidR="007A479F" w:rsidRPr="00603A20" w:rsidRDefault="00BF6795">
      <w:r w:rsidRPr="0044243A">
        <w:rPr>
          <w:b/>
        </w:rPr>
        <w:t>Introduction</w:t>
      </w:r>
      <w:r>
        <w:t>:</w:t>
      </w:r>
      <w:r w:rsidR="00603A20">
        <w:t xml:space="preserve"> Occupational-related gender differences have been explored. Differences have also been revealed in relation to workplace conflict</w:t>
      </w:r>
      <w:r w:rsidR="00871FA3">
        <w:rPr>
          <w:vertAlign w:val="superscript"/>
        </w:rPr>
        <w:t>1</w:t>
      </w:r>
      <w:r w:rsidR="00603A20">
        <w:t xml:space="preserve"> and friendship patterns</w:t>
      </w:r>
      <w:r w:rsidR="00871FA3">
        <w:rPr>
          <w:vertAlign w:val="superscript"/>
        </w:rPr>
        <w:t>2</w:t>
      </w:r>
      <w:r w:rsidR="00603A20">
        <w:t>. Within healthcare, variations in the structure of and delivery of services has also been noted between male and female general practitioners</w:t>
      </w:r>
      <w:r w:rsidR="00871FA3">
        <w:rPr>
          <w:vertAlign w:val="superscript"/>
        </w:rPr>
        <w:t>3</w:t>
      </w:r>
      <w:r w:rsidR="00603A20">
        <w:t>. We undertook a study to evaluate the distribution of commonly performed medical tasks by gender amongst junior doctors in an Irish context.</w:t>
      </w:r>
    </w:p>
    <w:p w:rsidR="00BF6795" w:rsidRDefault="00BF6795">
      <w:r w:rsidRPr="0044243A">
        <w:rPr>
          <w:b/>
        </w:rPr>
        <w:t>Methods</w:t>
      </w:r>
      <w:r>
        <w:t xml:space="preserve">: </w:t>
      </w:r>
      <w:r w:rsidR="00603A20">
        <w:t>O</w:t>
      </w:r>
      <w:r w:rsidR="007D4CC4">
        <w:t>ver a three-week period from September 25</w:t>
      </w:r>
      <w:r w:rsidR="007D4CC4" w:rsidRPr="007D4CC4">
        <w:rPr>
          <w:vertAlign w:val="superscript"/>
        </w:rPr>
        <w:t>th</w:t>
      </w:r>
      <w:r w:rsidR="007D4CC4">
        <w:t xml:space="preserve"> to October 15</w:t>
      </w:r>
      <w:r w:rsidR="007D4CC4" w:rsidRPr="007D4CC4">
        <w:rPr>
          <w:vertAlign w:val="superscript"/>
        </w:rPr>
        <w:t>th</w:t>
      </w:r>
      <w:r w:rsidR="00603A20">
        <w:t xml:space="preserve"> 2017, a prospective study was conducted amongst junior doctors in an acute Irish hospital. The number of p</w:t>
      </w:r>
      <w:r w:rsidR="0044243A">
        <w:t xml:space="preserve">hlebotomy and </w:t>
      </w:r>
      <w:proofErr w:type="spellStart"/>
      <w:r w:rsidR="0044243A">
        <w:t>cannulation</w:t>
      </w:r>
      <w:proofErr w:type="spellEnd"/>
      <w:r w:rsidR="0044243A">
        <w:t xml:space="preserve"> tasks as well as electrocardiograph (ECG) </w:t>
      </w:r>
      <w:r w:rsidR="00603A20">
        <w:t>completion</w:t>
      </w:r>
      <w:r w:rsidR="007D4CC4">
        <w:t xml:space="preserve"> </w:t>
      </w:r>
      <w:r w:rsidR="0044243A">
        <w:t>were</w:t>
      </w:r>
      <w:r w:rsidR="007D4CC4">
        <w:t xml:space="preserve"> gathered </w:t>
      </w:r>
      <w:r w:rsidR="0044243A">
        <w:t>in a central database. Gender of performing doctor was collected</w:t>
      </w:r>
      <w:r w:rsidR="00603A20">
        <w:t xml:space="preserve"> concurrently</w:t>
      </w:r>
      <w:r w:rsidR="0044243A">
        <w:t xml:space="preserve">. Ethical approval was obtained from Trinity College Dublin. </w:t>
      </w:r>
    </w:p>
    <w:p w:rsidR="00871FA3" w:rsidRDefault="00BF6795">
      <w:r w:rsidRPr="0044243A">
        <w:rPr>
          <w:b/>
        </w:rPr>
        <w:t>Results</w:t>
      </w:r>
      <w:r>
        <w:t xml:space="preserve">: Of the </w:t>
      </w:r>
      <w:r w:rsidR="00E11162">
        <w:t>junior doctor</w:t>
      </w:r>
      <w:r w:rsidR="00D601F7">
        <w:t xml:space="preserve"> </w:t>
      </w:r>
      <w:r>
        <w:t>sample</w:t>
      </w:r>
      <w:r w:rsidR="00D601F7">
        <w:t xml:space="preserve"> (n=34)</w:t>
      </w:r>
      <w:r>
        <w:t>,</w:t>
      </w:r>
      <w:r w:rsidR="00D601F7">
        <w:t xml:space="preserve"> 19 were female and 15 were male.</w:t>
      </w:r>
      <w:r>
        <w:t xml:space="preserve"> 537 phlebotomy tasks, 319 </w:t>
      </w:r>
      <w:proofErr w:type="spellStart"/>
      <w:r>
        <w:t>cannulation</w:t>
      </w:r>
      <w:proofErr w:type="spellEnd"/>
      <w:r>
        <w:t xml:space="preserve"> tasks</w:t>
      </w:r>
      <w:r w:rsidR="0044243A">
        <w:t xml:space="preserve"> and 66 ECGs</w:t>
      </w:r>
      <w:r>
        <w:t xml:space="preserve"> were performed.</w:t>
      </w:r>
      <w:r w:rsidR="00D601F7">
        <w:t xml:space="preserve"> </w:t>
      </w:r>
      <w:r w:rsidR="00E11162">
        <w:t xml:space="preserve">60% of tasks (n=552) were </w:t>
      </w:r>
      <w:r w:rsidR="007D4CC4">
        <w:t>done</w:t>
      </w:r>
      <w:r w:rsidR="00E11162">
        <w:t xml:space="preserve"> by a female doctor. </w:t>
      </w:r>
      <w:r w:rsidR="0044243A">
        <w:t>The a</w:t>
      </w:r>
      <w:r w:rsidR="007D4CC4">
        <w:t xml:space="preserve">verage number </w:t>
      </w:r>
      <w:r w:rsidR="00871FA3">
        <w:t xml:space="preserve">of </w:t>
      </w:r>
      <w:r w:rsidR="007D4CC4">
        <w:t>task</w:t>
      </w:r>
      <w:r w:rsidR="00871FA3">
        <w:t>s</w:t>
      </w:r>
      <w:r w:rsidR="007D4CC4">
        <w:t xml:space="preserve"> performed by a doctor according to gender is depicted in Figure 1. Notably, female doctors were twice as likely as male doctors to complete an ECG. Analysis of diurnal task frequency by gender revealed that female doctors are almost twice as likely as male doctors </w:t>
      </w:r>
      <w:r w:rsidR="0044243A">
        <w:t xml:space="preserve">to </w:t>
      </w:r>
      <w:r w:rsidR="007D4CC4">
        <w:t>phlebotomize a patient</w:t>
      </w:r>
      <w:r w:rsidR="00871FA3">
        <w:t xml:space="preserve"> when compared with</w:t>
      </w:r>
      <w:r w:rsidR="0044243A">
        <w:t xml:space="preserve"> their male counterparts</w:t>
      </w:r>
      <w:r w:rsidR="007D4CC4">
        <w:t xml:space="preserve"> </w:t>
      </w:r>
      <w:r w:rsidR="0044243A">
        <w:t>(</w:t>
      </w:r>
      <w:r w:rsidR="007D4CC4">
        <w:t xml:space="preserve">daytime phlebotomy task </w:t>
      </w:r>
      <w:r w:rsidR="00871FA3">
        <w:t>rate</w:t>
      </w:r>
      <w:r w:rsidR="007D4CC4">
        <w:t xml:space="preserve"> 7</w:t>
      </w:r>
      <w:r w:rsidR="00871FA3">
        <w:t>.0</w:t>
      </w:r>
      <w:r w:rsidR="007D4CC4">
        <w:t xml:space="preserve"> </w:t>
      </w:r>
      <w:r w:rsidR="0044243A">
        <w:t xml:space="preserve">versus </w:t>
      </w:r>
      <w:r w:rsidR="007D4CC4">
        <w:t>3.8</w:t>
      </w:r>
      <w:r w:rsidR="0044243A">
        <w:t xml:space="preserve"> for females and males respectively)</w:t>
      </w:r>
      <w:r w:rsidR="007D4CC4">
        <w:t xml:space="preserve">. ECG completion by a female doctor was more than twice as likely </w:t>
      </w:r>
      <w:r w:rsidR="00871FA3">
        <w:t>during daytime shifts.</w:t>
      </w:r>
      <w:r w:rsidR="00BC4A32">
        <w:t xml:space="preserve">  </w:t>
      </w:r>
    </w:p>
    <w:p w:rsidR="00BC4A32" w:rsidRDefault="007D4CC4" w:rsidP="00BC4A32">
      <w:r w:rsidRPr="0044243A">
        <w:rPr>
          <w:b/>
        </w:rPr>
        <w:t>Conclusion</w:t>
      </w:r>
      <w:r>
        <w:t xml:space="preserve">: </w:t>
      </w:r>
      <w:r w:rsidR="00871FA3">
        <w:t xml:space="preserve">Female junior doctors appear to complete more medical tasks than their male colleagues. This was </w:t>
      </w:r>
      <w:r w:rsidR="002D46D2">
        <w:t>particularly</w:t>
      </w:r>
      <w:r w:rsidR="00871FA3">
        <w:t xml:space="preserve"> found for the task of ECG completion. Human factors such as </w:t>
      </w:r>
      <w:r w:rsidR="00BC4A32">
        <w:t xml:space="preserve">organizational </w:t>
      </w:r>
      <w:r w:rsidR="00871FA3">
        <w:t xml:space="preserve">attitudes </w:t>
      </w:r>
      <w:r w:rsidR="00BC4A32">
        <w:t xml:space="preserve">to task distribution </w:t>
      </w:r>
      <w:r w:rsidR="00871FA3">
        <w:t>and approaches to task completion</w:t>
      </w:r>
      <w:r w:rsidR="00BC4A32">
        <w:t xml:space="preserve"> </w:t>
      </w:r>
      <w:r w:rsidR="00871FA3">
        <w:t xml:space="preserve">may be influenced by gender. </w:t>
      </w:r>
    </w:p>
    <w:p w:rsidR="00E11162" w:rsidRDefault="00E11162" w:rsidP="00BC4A32">
      <w:r>
        <w:rPr>
          <w:noProof/>
        </w:rPr>
        <w:lastRenderedPageBreak/>
        <w:drawing>
          <wp:inline distT="0" distB="0" distL="0" distR="0" wp14:anchorId="5064A6C4" wp14:editId="405E9B6C">
            <wp:extent cx="2947988" cy="2424113"/>
            <wp:effectExtent l="0" t="0" r="5080" b="146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11162" w:rsidRDefault="00E11162" w:rsidP="00E11162">
      <w:pPr>
        <w:pStyle w:val="Caption"/>
      </w:pPr>
      <w:r>
        <w:t xml:space="preserve">Figure </w:t>
      </w:r>
      <w:fldSimple w:instr=" SEQ Figure \* ARABIC ">
        <w:r>
          <w:rPr>
            <w:noProof/>
          </w:rPr>
          <w:t>1</w:t>
        </w:r>
      </w:fldSimple>
      <w:r w:rsidR="00BC4A32">
        <w:t xml:space="preserve">: Average Number of Tasks </w:t>
      </w:r>
      <w:r>
        <w:t>by Gender</w:t>
      </w:r>
    </w:p>
    <w:p w:rsidR="00BC4A32" w:rsidRPr="00BC4A32" w:rsidRDefault="00BC4A32" w:rsidP="00BC4A32"/>
    <w:p w:rsidR="00603A20" w:rsidRPr="00BC4A32" w:rsidRDefault="00BC4A32" w:rsidP="0044243A">
      <w:pPr>
        <w:rPr>
          <w:rStyle w:val="selectable"/>
          <w:b/>
        </w:rPr>
      </w:pPr>
      <w:r>
        <w:rPr>
          <w:b/>
        </w:rPr>
        <w:t>References</w:t>
      </w:r>
    </w:p>
    <w:p w:rsidR="00603A20" w:rsidRDefault="00603A20" w:rsidP="00603A20">
      <w:pPr>
        <w:pStyle w:val="ListParagraph"/>
        <w:numPr>
          <w:ilvl w:val="0"/>
          <w:numId w:val="1"/>
        </w:numPr>
        <w:rPr>
          <w:rStyle w:val="selectable"/>
        </w:rPr>
      </w:pPr>
      <w:r>
        <w:rPr>
          <w:rStyle w:val="selectable"/>
        </w:rPr>
        <w:t xml:space="preserve">Davis M, </w:t>
      </w:r>
      <w:proofErr w:type="spellStart"/>
      <w:r>
        <w:rPr>
          <w:rStyle w:val="selectable"/>
        </w:rPr>
        <w:t>Capobianco</w:t>
      </w:r>
      <w:proofErr w:type="spellEnd"/>
      <w:r>
        <w:rPr>
          <w:rStyle w:val="selectable"/>
        </w:rPr>
        <w:t xml:space="preserve"> S, Kraus L. Gender Differences in Responding to Conflict in the Workplace: Evidence from a Large Sample of Working Adults. Sex Roles. 2010</w:t>
      </w:r>
      <w:proofErr w:type="gramStart"/>
      <w:r>
        <w:rPr>
          <w:rStyle w:val="selectable"/>
        </w:rPr>
        <w:t>;63</w:t>
      </w:r>
      <w:proofErr w:type="gramEnd"/>
      <w:r>
        <w:rPr>
          <w:rStyle w:val="selectable"/>
        </w:rPr>
        <w:t>(7-8):500-514.</w:t>
      </w:r>
    </w:p>
    <w:p w:rsidR="00603A20" w:rsidRDefault="00603A20" w:rsidP="00603A20">
      <w:pPr>
        <w:pStyle w:val="ListParagraph"/>
        <w:numPr>
          <w:ilvl w:val="0"/>
          <w:numId w:val="1"/>
        </w:numPr>
        <w:rPr>
          <w:rStyle w:val="selectable"/>
        </w:rPr>
      </w:pPr>
      <w:r>
        <w:rPr>
          <w:rStyle w:val="selectable"/>
        </w:rPr>
        <w:t xml:space="preserve">Morrison R. Are Women Tending and Befriending in the Workplace? Gender Differences in the Relationship </w:t>
      </w:r>
      <w:proofErr w:type="gramStart"/>
      <w:r>
        <w:rPr>
          <w:rStyle w:val="selectable"/>
        </w:rPr>
        <w:t>Between</w:t>
      </w:r>
      <w:proofErr w:type="gramEnd"/>
      <w:r>
        <w:rPr>
          <w:rStyle w:val="selectable"/>
        </w:rPr>
        <w:t xml:space="preserve"> Workplace Friendships and Organizational Outcomes. Sex Roles. 2008;60(1-2):1-13.</w:t>
      </w:r>
    </w:p>
    <w:p w:rsidR="00603A20" w:rsidRPr="0044243A" w:rsidRDefault="00603A20" w:rsidP="00603A20">
      <w:pPr>
        <w:pStyle w:val="ListParagraph"/>
        <w:numPr>
          <w:ilvl w:val="0"/>
          <w:numId w:val="1"/>
        </w:numPr>
      </w:pPr>
      <w:proofErr w:type="spellStart"/>
      <w:r>
        <w:rPr>
          <w:rStyle w:val="selectable"/>
        </w:rPr>
        <w:t>Boerma</w:t>
      </w:r>
      <w:proofErr w:type="spellEnd"/>
      <w:r>
        <w:rPr>
          <w:rStyle w:val="selectable"/>
        </w:rPr>
        <w:t xml:space="preserve"> W, van den Brink-</w:t>
      </w:r>
      <w:proofErr w:type="spellStart"/>
      <w:r>
        <w:rPr>
          <w:rStyle w:val="selectable"/>
        </w:rPr>
        <w:t>Muinen</w:t>
      </w:r>
      <w:proofErr w:type="spellEnd"/>
      <w:r>
        <w:rPr>
          <w:rStyle w:val="selectable"/>
        </w:rPr>
        <w:t xml:space="preserve"> A. Gender-Related Differences in the Organization and Provision of Services Among General Practitioners in Europe. Medical Care. 2000;38(10):993-1002.</w:t>
      </w:r>
    </w:p>
    <w:p w:rsidR="00603A20" w:rsidRDefault="00603A20" w:rsidP="00603A20">
      <w:pPr>
        <w:pStyle w:val="ListParagraph"/>
        <w:rPr>
          <w:rStyle w:val="selectable"/>
        </w:rPr>
      </w:pPr>
    </w:p>
    <w:p w:rsidR="00BC4A32" w:rsidRPr="00B32B15" w:rsidRDefault="00BC4A32" w:rsidP="00BC4A32">
      <w:pPr>
        <w:pStyle w:val="ListParagraph"/>
        <w:ind w:left="0"/>
        <w:jc w:val="both"/>
      </w:pPr>
      <w:r>
        <w:rPr>
          <w:b/>
        </w:rPr>
        <w:t>Bibliography</w:t>
      </w:r>
    </w:p>
    <w:p w:rsidR="00C55615" w:rsidRDefault="00C55615" w:rsidP="0044243A">
      <w:pPr>
        <w:rPr>
          <w:rStyle w:val="selectable"/>
        </w:rPr>
      </w:pPr>
      <w:r>
        <w:rPr>
          <w:rStyle w:val="selectable"/>
        </w:rPr>
        <w:t xml:space="preserve">Dr </w:t>
      </w:r>
      <w:proofErr w:type="spellStart"/>
      <w:r>
        <w:rPr>
          <w:rStyle w:val="selectable"/>
        </w:rPr>
        <w:t>Domhnall</w:t>
      </w:r>
      <w:proofErr w:type="spellEnd"/>
      <w:r>
        <w:rPr>
          <w:rStyle w:val="selectable"/>
        </w:rPr>
        <w:t xml:space="preserve"> </w:t>
      </w:r>
      <w:proofErr w:type="spellStart"/>
      <w:r>
        <w:rPr>
          <w:rStyle w:val="selectable"/>
        </w:rPr>
        <w:t>McGlacken</w:t>
      </w:r>
      <w:proofErr w:type="spellEnd"/>
      <w:r>
        <w:rPr>
          <w:rStyle w:val="selectable"/>
        </w:rPr>
        <w:t xml:space="preserve">-Byrne is currently working in St. James’s Hospital, Dublin having graduated from Trinity College Dublin in 2017. His future medical career will be in the area of </w:t>
      </w:r>
      <w:proofErr w:type="spellStart"/>
      <w:r>
        <w:rPr>
          <w:rStyle w:val="selectable"/>
        </w:rPr>
        <w:t>paediatrics</w:t>
      </w:r>
      <w:proofErr w:type="spellEnd"/>
      <w:r>
        <w:rPr>
          <w:rStyle w:val="selectable"/>
        </w:rPr>
        <w:t xml:space="preserve">. </w:t>
      </w:r>
    </w:p>
    <w:p w:rsidR="00BC4A32" w:rsidRDefault="00BC4A32" w:rsidP="0044243A">
      <w:pPr>
        <w:rPr>
          <w:b/>
        </w:rPr>
      </w:pPr>
      <w:r w:rsidRPr="00B32B15">
        <w:rPr>
          <w:b/>
        </w:rPr>
        <w:t>Recent Publications</w:t>
      </w:r>
    </w:p>
    <w:p w:rsidR="00BC4A32" w:rsidRPr="00BC4A32" w:rsidRDefault="00BC4A32" w:rsidP="00BC4A32">
      <w:pPr>
        <w:spacing w:line="240" w:lineRule="auto"/>
        <w:rPr>
          <w:rFonts w:eastAsia="Times New Roman" w:cs="Segoe UI"/>
          <w:sz w:val="27"/>
          <w:szCs w:val="27"/>
        </w:rPr>
      </w:pPr>
      <w:proofErr w:type="spellStart"/>
      <w:r w:rsidRPr="00BC4A32">
        <w:rPr>
          <w:rFonts w:eastAsia="Times New Roman" w:cs="Segoe UI"/>
        </w:rPr>
        <w:t>McGlacken</w:t>
      </w:r>
      <w:proofErr w:type="spellEnd"/>
      <w:r w:rsidRPr="00BC4A32">
        <w:rPr>
          <w:rFonts w:eastAsia="Times New Roman" w:cs="Segoe UI"/>
        </w:rPr>
        <w:t xml:space="preserve">-Byrne, D., </w:t>
      </w:r>
      <w:proofErr w:type="spellStart"/>
      <w:r w:rsidRPr="00BC4A32">
        <w:rPr>
          <w:rFonts w:eastAsia="Times New Roman" w:cs="Segoe UI"/>
        </w:rPr>
        <w:t>Vallieres</w:t>
      </w:r>
      <w:proofErr w:type="spellEnd"/>
      <w:r w:rsidRPr="00BC4A32">
        <w:rPr>
          <w:rFonts w:eastAsia="Times New Roman" w:cs="Segoe UI"/>
        </w:rPr>
        <w:t xml:space="preserve">, F., </w:t>
      </w:r>
      <w:proofErr w:type="spellStart"/>
      <w:r w:rsidRPr="00BC4A32">
        <w:rPr>
          <w:rFonts w:eastAsia="Times New Roman" w:cs="Segoe UI"/>
        </w:rPr>
        <w:t>Mannan</w:t>
      </w:r>
      <w:proofErr w:type="spellEnd"/>
      <w:r w:rsidRPr="00BC4A32">
        <w:rPr>
          <w:rFonts w:eastAsia="Times New Roman" w:cs="Segoe UI"/>
        </w:rPr>
        <w:t xml:space="preserve">, H. &amp; </w:t>
      </w:r>
      <w:proofErr w:type="spellStart"/>
      <w:r w:rsidRPr="00BC4A32">
        <w:rPr>
          <w:rFonts w:eastAsia="Times New Roman" w:cs="Segoe UI"/>
        </w:rPr>
        <w:t>Larkan</w:t>
      </w:r>
      <w:proofErr w:type="spellEnd"/>
      <w:r w:rsidRPr="00BC4A32">
        <w:rPr>
          <w:rFonts w:eastAsia="Times New Roman" w:cs="Segoe UI"/>
        </w:rPr>
        <w:t xml:space="preserve">, F. (accepted). An Introduction to Systems Thinking. In </w:t>
      </w:r>
      <w:proofErr w:type="spellStart"/>
      <w:r w:rsidRPr="00BC4A32">
        <w:rPr>
          <w:rFonts w:eastAsia="Times New Roman" w:cs="Segoe UI"/>
        </w:rPr>
        <w:t>Larkan</w:t>
      </w:r>
      <w:proofErr w:type="spellEnd"/>
      <w:r w:rsidRPr="00BC4A32">
        <w:rPr>
          <w:rFonts w:eastAsia="Times New Roman" w:cs="Segoe UI"/>
        </w:rPr>
        <w:t xml:space="preserve">, F., </w:t>
      </w:r>
      <w:proofErr w:type="spellStart"/>
      <w:r w:rsidRPr="00BC4A32">
        <w:rPr>
          <w:rFonts w:eastAsia="Times New Roman" w:cs="Segoe UI"/>
        </w:rPr>
        <w:t>Mannan</w:t>
      </w:r>
      <w:proofErr w:type="spellEnd"/>
      <w:r w:rsidRPr="00BC4A32">
        <w:rPr>
          <w:rFonts w:eastAsia="Times New Roman" w:cs="Segoe UI"/>
        </w:rPr>
        <w:t xml:space="preserve">, H. &amp; </w:t>
      </w:r>
      <w:proofErr w:type="spellStart"/>
      <w:r w:rsidRPr="00BC4A32">
        <w:rPr>
          <w:rFonts w:eastAsia="Times New Roman" w:cs="Segoe UI"/>
        </w:rPr>
        <w:t>Vallieres</w:t>
      </w:r>
      <w:proofErr w:type="spellEnd"/>
      <w:r w:rsidRPr="00BC4A32">
        <w:rPr>
          <w:rFonts w:eastAsia="Times New Roman" w:cs="Segoe UI"/>
        </w:rPr>
        <w:t>, F. (Eds.) (in preparation). Reading Across Systems Thinking for Global Health: How can systems-thinking contribute to solving key challenges in Global Health? Oxford: Oxford University Press.</w:t>
      </w:r>
    </w:p>
    <w:p w:rsidR="00BC4A32" w:rsidRPr="00BC4A32" w:rsidRDefault="00BC4A32" w:rsidP="00BC4A32">
      <w:pPr>
        <w:spacing w:line="240" w:lineRule="auto"/>
        <w:rPr>
          <w:rFonts w:eastAsia="Times New Roman" w:cs="Segoe UI"/>
          <w:sz w:val="27"/>
          <w:szCs w:val="27"/>
        </w:rPr>
      </w:pPr>
      <w:proofErr w:type="spellStart"/>
      <w:r w:rsidRPr="00BC4A32">
        <w:rPr>
          <w:rFonts w:eastAsia="Times New Roman" w:cs="Segoe UI"/>
        </w:rPr>
        <w:t>McGlacken</w:t>
      </w:r>
      <w:proofErr w:type="spellEnd"/>
      <w:r w:rsidRPr="00BC4A32">
        <w:rPr>
          <w:rFonts w:eastAsia="Times New Roman" w:cs="Segoe UI"/>
        </w:rPr>
        <w:t xml:space="preserve">-Byrne, D., </w:t>
      </w:r>
      <w:proofErr w:type="spellStart"/>
      <w:r w:rsidRPr="00BC4A32">
        <w:rPr>
          <w:rFonts w:eastAsia="Times New Roman" w:cs="Segoe UI"/>
        </w:rPr>
        <w:t>Ní</w:t>
      </w:r>
      <w:proofErr w:type="spellEnd"/>
      <w:r w:rsidRPr="00BC4A32">
        <w:rPr>
          <w:rFonts w:eastAsia="Times New Roman" w:cs="Segoe UI"/>
        </w:rPr>
        <w:t xml:space="preserve"> Cheallaigh, C. Vitamin Deficiency &amp; Systemic Failure: A Case of Wernicke-</w:t>
      </w:r>
      <w:proofErr w:type="spellStart"/>
      <w:r w:rsidRPr="00BC4A32">
        <w:rPr>
          <w:rFonts w:eastAsia="Times New Roman" w:cs="Segoe UI"/>
        </w:rPr>
        <w:t>Korsakoff</w:t>
      </w:r>
      <w:proofErr w:type="spellEnd"/>
      <w:r w:rsidRPr="00BC4A32">
        <w:rPr>
          <w:rFonts w:eastAsia="Times New Roman" w:cs="Segoe UI"/>
        </w:rPr>
        <w:t xml:space="preserve"> Syndrome in a Young Patient. (accepted) Intern Study Day, Royal Academia of Medicine, Ireland (2018).</w:t>
      </w:r>
    </w:p>
    <w:p w:rsidR="00BC4A32" w:rsidRDefault="00BC4A32" w:rsidP="00BC4A32">
      <w:pPr>
        <w:spacing w:line="240" w:lineRule="auto"/>
        <w:rPr>
          <w:rFonts w:eastAsia="Times New Roman" w:cs="Segoe UI"/>
        </w:rPr>
      </w:pPr>
      <w:proofErr w:type="spellStart"/>
      <w:r w:rsidRPr="00BC4A32">
        <w:rPr>
          <w:rFonts w:eastAsia="Times New Roman" w:cs="Segoe UI"/>
        </w:rPr>
        <w:t>McGlacken</w:t>
      </w:r>
      <w:proofErr w:type="spellEnd"/>
      <w:r w:rsidRPr="00BC4A32">
        <w:rPr>
          <w:rFonts w:eastAsia="Times New Roman" w:cs="Segoe UI"/>
        </w:rPr>
        <w:t>-Byrne, D. ‘As recovery picks up, we must revisit underfunding in third level’. In The Irish Times (2015).</w:t>
      </w:r>
    </w:p>
    <w:p w:rsidR="003B7610" w:rsidRDefault="003B7610" w:rsidP="00BC4A32">
      <w:pPr>
        <w:spacing w:line="240" w:lineRule="auto"/>
        <w:rPr>
          <w:rFonts w:eastAsia="Times New Roman" w:cs="Segoe UI"/>
          <w:b/>
        </w:rPr>
      </w:pPr>
    </w:p>
    <w:p w:rsidR="003B7610" w:rsidRDefault="003B7610" w:rsidP="00BC4A32">
      <w:pPr>
        <w:spacing w:line="240" w:lineRule="auto"/>
        <w:rPr>
          <w:rFonts w:eastAsia="Times New Roman" w:cs="Segoe UI"/>
          <w:b/>
        </w:rPr>
      </w:pPr>
    </w:p>
    <w:p w:rsidR="00BC4A32" w:rsidRDefault="00BC4A32" w:rsidP="00BC4A32">
      <w:pPr>
        <w:spacing w:line="240" w:lineRule="auto"/>
        <w:rPr>
          <w:rFonts w:eastAsia="Times New Roman" w:cs="Segoe UI"/>
          <w:b/>
        </w:rPr>
      </w:pPr>
      <w:r w:rsidRPr="00BC4A32">
        <w:rPr>
          <w:rFonts w:eastAsia="Times New Roman" w:cs="Segoe UI"/>
          <w:b/>
        </w:rPr>
        <w:t>Photo</w:t>
      </w:r>
    </w:p>
    <w:p w:rsidR="00BC4A32" w:rsidRPr="00BC4A32" w:rsidRDefault="000E7ECE" w:rsidP="00BC4A32">
      <w:pPr>
        <w:spacing w:line="240" w:lineRule="auto"/>
        <w:rPr>
          <w:rFonts w:eastAsia="Times New Roman" w:cs="Segoe UI"/>
          <w:b/>
          <w:sz w:val="27"/>
          <w:szCs w:val="27"/>
        </w:rPr>
      </w:pPr>
      <w:r>
        <w:rPr>
          <w:rFonts w:eastAsia="Times New Roman" w:cs="Segoe UI"/>
          <w:b/>
          <w:noProof/>
          <w:sz w:val="27"/>
          <w:szCs w:val="27"/>
        </w:rPr>
        <w:drawing>
          <wp:inline distT="0" distB="0" distL="0" distR="0">
            <wp:extent cx="1524000" cy="12857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1393" cy="1300432"/>
                    </a:xfrm>
                    <a:prstGeom prst="rect">
                      <a:avLst/>
                    </a:prstGeom>
                    <a:noFill/>
                    <a:ln>
                      <a:noFill/>
                    </a:ln>
                  </pic:spPr>
                </pic:pic>
              </a:graphicData>
            </a:graphic>
          </wp:inline>
        </w:drawing>
      </w:r>
      <w:bookmarkStart w:id="0" w:name="_GoBack"/>
      <w:bookmarkEnd w:id="0"/>
    </w:p>
    <w:p w:rsidR="00BC4A32" w:rsidRDefault="00BC4A32" w:rsidP="0044243A">
      <w:pPr>
        <w:rPr>
          <w:rStyle w:val="selectable"/>
        </w:rPr>
      </w:pPr>
    </w:p>
    <w:sectPr w:rsidR="00BC4A3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B2341"/>
    <w:multiLevelType w:val="hybridMultilevel"/>
    <w:tmpl w:val="B7803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BEC"/>
    <w:rsid w:val="000779C8"/>
    <w:rsid w:val="000E7ECE"/>
    <w:rsid w:val="001B7BEC"/>
    <w:rsid w:val="002D46D2"/>
    <w:rsid w:val="003B7610"/>
    <w:rsid w:val="0044243A"/>
    <w:rsid w:val="004C6F14"/>
    <w:rsid w:val="00603A20"/>
    <w:rsid w:val="007D4CC4"/>
    <w:rsid w:val="00871FA3"/>
    <w:rsid w:val="00B726F2"/>
    <w:rsid w:val="00BC1B5B"/>
    <w:rsid w:val="00BC4A32"/>
    <w:rsid w:val="00BF6795"/>
    <w:rsid w:val="00C55615"/>
    <w:rsid w:val="00D601F7"/>
    <w:rsid w:val="00E11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F9347E-F59A-4EB7-AB4A-B49B91C0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11162"/>
    <w:pPr>
      <w:spacing w:after="200" w:line="240" w:lineRule="auto"/>
    </w:pPr>
    <w:rPr>
      <w:i/>
      <w:iCs/>
      <w:color w:val="44546A" w:themeColor="text2"/>
      <w:sz w:val="18"/>
      <w:szCs w:val="18"/>
    </w:rPr>
  </w:style>
  <w:style w:type="character" w:customStyle="1" w:styleId="selectable">
    <w:name w:val="selectable"/>
    <w:basedOn w:val="DefaultParagraphFont"/>
    <w:rsid w:val="0044243A"/>
  </w:style>
  <w:style w:type="paragraph" w:styleId="ListParagraph">
    <w:name w:val="List Paragraph"/>
    <w:basedOn w:val="Normal"/>
    <w:uiPriority w:val="34"/>
    <w:qFormat/>
    <w:rsid w:val="00603A20"/>
    <w:pPr>
      <w:ind w:left="720"/>
      <w:contextualSpacing/>
    </w:pPr>
  </w:style>
  <w:style w:type="paragraph" w:styleId="HTMLPreformatted">
    <w:name w:val="HTML Preformatted"/>
    <w:basedOn w:val="Normal"/>
    <w:link w:val="HTMLPreformattedChar"/>
    <w:rsid w:val="00BC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BC4A32"/>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003912">
      <w:bodyDiv w:val="1"/>
      <w:marLeft w:val="0"/>
      <w:marRight w:val="0"/>
      <w:marTop w:val="0"/>
      <w:marBottom w:val="0"/>
      <w:divBdr>
        <w:top w:val="none" w:sz="0" w:space="0" w:color="auto"/>
        <w:left w:val="none" w:sz="0" w:space="0" w:color="auto"/>
        <w:bottom w:val="none" w:sz="0" w:space="0" w:color="auto"/>
        <w:right w:val="none" w:sz="0" w:space="0" w:color="auto"/>
      </w:divBdr>
      <w:divsChild>
        <w:div w:id="100611120">
          <w:marLeft w:val="0"/>
          <w:marRight w:val="0"/>
          <w:marTop w:val="0"/>
          <w:marBottom w:val="0"/>
          <w:divBdr>
            <w:top w:val="none" w:sz="0" w:space="0" w:color="auto"/>
            <w:left w:val="none" w:sz="0" w:space="0" w:color="auto"/>
            <w:bottom w:val="none" w:sz="0" w:space="0" w:color="auto"/>
            <w:right w:val="none" w:sz="0" w:space="0" w:color="auto"/>
          </w:divBdr>
          <w:divsChild>
            <w:div w:id="1437795812">
              <w:marLeft w:val="0"/>
              <w:marRight w:val="0"/>
              <w:marTop w:val="0"/>
              <w:marBottom w:val="0"/>
              <w:divBdr>
                <w:top w:val="none" w:sz="0" w:space="0" w:color="auto"/>
                <w:left w:val="none" w:sz="0" w:space="0" w:color="auto"/>
                <w:bottom w:val="none" w:sz="0" w:space="0" w:color="auto"/>
                <w:right w:val="none" w:sz="0" w:space="0" w:color="auto"/>
              </w:divBdr>
              <w:divsChild>
                <w:div w:id="1635213421">
                  <w:marLeft w:val="0"/>
                  <w:marRight w:val="0"/>
                  <w:marTop w:val="0"/>
                  <w:marBottom w:val="0"/>
                  <w:divBdr>
                    <w:top w:val="none" w:sz="0" w:space="0" w:color="auto"/>
                    <w:left w:val="none" w:sz="0" w:space="0" w:color="auto"/>
                    <w:bottom w:val="none" w:sz="0" w:space="0" w:color="auto"/>
                    <w:right w:val="none" w:sz="0" w:space="0" w:color="auto"/>
                  </w:divBdr>
                  <w:divsChild>
                    <w:div w:id="1099375447">
                      <w:marLeft w:val="0"/>
                      <w:marRight w:val="0"/>
                      <w:marTop w:val="0"/>
                      <w:marBottom w:val="0"/>
                      <w:divBdr>
                        <w:top w:val="none" w:sz="0" w:space="0" w:color="auto"/>
                        <w:left w:val="none" w:sz="0" w:space="0" w:color="auto"/>
                        <w:bottom w:val="none" w:sz="0" w:space="0" w:color="auto"/>
                        <w:right w:val="none" w:sz="0" w:space="0" w:color="auto"/>
                      </w:divBdr>
                      <w:divsChild>
                        <w:div w:id="431630544">
                          <w:marLeft w:val="0"/>
                          <w:marRight w:val="0"/>
                          <w:marTop w:val="0"/>
                          <w:marBottom w:val="0"/>
                          <w:divBdr>
                            <w:top w:val="none" w:sz="0" w:space="0" w:color="auto"/>
                            <w:left w:val="none" w:sz="0" w:space="0" w:color="auto"/>
                            <w:bottom w:val="none" w:sz="0" w:space="0" w:color="auto"/>
                            <w:right w:val="none" w:sz="0" w:space="0" w:color="auto"/>
                          </w:divBdr>
                          <w:divsChild>
                            <w:div w:id="1200976121">
                              <w:marLeft w:val="0"/>
                              <w:marRight w:val="0"/>
                              <w:marTop w:val="0"/>
                              <w:marBottom w:val="0"/>
                              <w:divBdr>
                                <w:top w:val="none" w:sz="0" w:space="0" w:color="auto"/>
                                <w:left w:val="none" w:sz="0" w:space="0" w:color="auto"/>
                                <w:bottom w:val="none" w:sz="0" w:space="0" w:color="auto"/>
                                <w:right w:val="none" w:sz="0" w:space="0" w:color="auto"/>
                              </w:divBdr>
                              <w:divsChild>
                                <w:div w:id="73167101">
                                  <w:marLeft w:val="0"/>
                                  <w:marRight w:val="0"/>
                                  <w:marTop w:val="0"/>
                                  <w:marBottom w:val="0"/>
                                  <w:divBdr>
                                    <w:top w:val="none" w:sz="0" w:space="0" w:color="auto"/>
                                    <w:left w:val="none" w:sz="0" w:space="0" w:color="auto"/>
                                    <w:bottom w:val="none" w:sz="0" w:space="0" w:color="auto"/>
                                    <w:right w:val="none" w:sz="0" w:space="0" w:color="auto"/>
                                  </w:divBdr>
                                  <w:divsChild>
                                    <w:div w:id="1245871353">
                                      <w:marLeft w:val="0"/>
                                      <w:marRight w:val="0"/>
                                      <w:marTop w:val="0"/>
                                      <w:marBottom w:val="0"/>
                                      <w:divBdr>
                                        <w:top w:val="none" w:sz="0" w:space="0" w:color="auto"/>
                                        <w:left w:val="none" w:sz="0" w:space="0" w:color="auto"/>
                                        <w:bottom w:val="none" w:sz="0" w:space="0" w:color="auto"/>
                                        <w:right w:val="none" w:sz="0" w:space="0" w:color="auto"/>
                                      </w:divBdr>
                                      <w:divsChild>
                                        <w:div w:id="886455038">
                                          <w:marLeft w:val="0"/>
                                          <w:marRight w:val="0"/>
                                          <w:marTop w:val="0"/>
                                          <w:marBottom w:val="0"/>
                                          <w:divBdr>
                                            <w:top w:val="none" w:sz="0" w:space="0" w:color="auto"/>
                                            <w:left w:val="none" w:sz="0" w:space="0" w:color="auto"/>
                                            <w:bottom w:val="none" w:sz="0" w:space="0" w:color="auto"/>
                                            <w:right w:val="none" w:sz="0" w:space="0" w:color="auto"/>
                                          </w:divBdr>
                                          <w:divsChild>
                                            <w:div w:id="548612997">
                                              <w:marLeft w:val="0"/>
                                              <w:marRight w:val="0"/>
                                              <w:marTop w:val="0"/>
                                              <w:marBottom w:val="0"/>
                                              <w:divBdr>
                                                <w:top w:val="none" w:sz="0" w:space="0" w:color="auto"/>
                                                <w:left w:val="none" w:sz="0" w:space="0" w:color="auto"/>
                                                <w:bottom w:val="none" w:sz="0" w:space="0" w:color="auto"/>
                                                <w:right w:val="none" w:sz="0" w:space="0" w:color="auto"/>
                                              </w:divBdr>
                                              <w:divsChild>
                                                <w:div w:id="327364872">
                                                  <w:marLeft w:val="0"/>
                                                  <w:marRight w:val="0"/>
                                                  <w:marTop w:val="0"/>
                                                  <w:marBottom w:val="0"/>
                                                  <w:divBdr>
                                                    <w:top w:val="none" w:sz="0" w:space="0" w:color="auto"/>
                                                    <w:left w:val="none" w:sz="0" w:space="0" w:color="auto"/>
                                                    <w:bottom w:val="none" w:sz="0" w:space="0" w:color="auto"/>
                                                    <w:right w:val="none" w:sz="0" w:space="0" w:color="auto"/>
                                                  </w:divBdr>
                                                  <w:divsChild>
                                                    <w:div w:id="1344748288">
                                                      <w:marLeft w:val="0"/>
                                                      <w:marRight w:val="0"/>
                                                      <w:marTop w:val="0"/>
                                                      <w:marBottom w:val="0"/>
                                                      <w:divBdr>
                                                        <w:top w:val="none" w:sz="0" w:space="0" w:color="auto"/>
                                                        <w:left w:val="none" w:sz="0" w:space="0" w:color="auto"/>
                                                        <w:bottom w:val="none" w:sz="0" w:space="0" w:color="auto"/>
                                                        <w:right w:val="none" w:sz="0" w:space="0" w:color="auto"/>
                                                      </w:divBdr>
                                                      <w:divsChild>
                                                        <w:div w:id="1223709937">
                                                          <w:marLeft w:val="0"/>
                                                          <w:marRight w:val="0"/>
                                                          <w:marTop w:val="0"/>
                                                          <w:marBottom w:val="0"/>
                                                          <w:divBdr>
                                                            <w:top w:val="none" w:sz="0" w:space="0" w:color="auto"/>
                                                            <w:left w:val="none" w:sz="0" w:space="0" w:color="auto"/>
                                                            <w:bottom w:val="none" w:sz="0" w:space="0" w:color="auto"/>
                                                            <w:right w:val="none" w:sz="0" w:space="0" w:color="auto"/>
                                                          </w:divBdr>
                                                          <w:divsChild>
                                                            <w:div w:id="171724964">
                                                              <w:marLeft w:val="0"/>
                                                              <w:marRight w:val="150"/>
                                                              <w:marTop w:val="0"/>
                                                              <w:marBottom w:val="150"/>
                                                              <w:divBdr>
                                                                <w:top w:val="none" w:sz="0" w:space="0" w:color="auto"/>
                                                                <w:left w:val="none" w:sz="0" w:space="0" w:color="auto"/>
                                                                <w:bottom w:val="none" w:sz="0" w:space="0" w:color="auto"/>
                                                                <w:right w:val="none" w:sz="0" w:space="0" w:color="auto"/>
                                                              </w:divBdr>
                                                              <w:divsChild>
                                                                <w:div w:id="883517200">
                                                                  <w:marLeft w:val="0"/>
                                                                  <w:marRight w:val="0"/>
                                                                  <w:marTop w:val="0"/>
                                                                  <w:marBottom w:val="0"/>
                                                                  <w:divBdr>
                                                                    <w:top w:val="none" w:sz="0" w:space="0" w:color="auto"/>
                                                                    <w:left w:val="none" w:sz="0" w:space="0" w:color="auto"/>
                                                                    <w:bottom w:val="none" w:sz="0" w:space="0" w:color="auto"/>
                                                                    <w:right w:val="none" w:sz="0" w:space="0" w:color="auto"/>
                                                                  </w:divBdr>
                                                                  <w:divsChild>
                                                                    <w:div w:id="1907639345">
                                                                      <w:marLeft w:val="0"/>
                                                                      <w:marRight w:val="0"/>
                                                                      <w:marTop w:val="0"/>
                                                                      <w:marBottom w:val="0"/>
                                                                      <w:divBdr>
                                                                        <w:top w:val="none" w:sz="0" w:space="0" w:color="auto"/>
                                                                        <w:left w:val="none" w:sz="0" w:space="0" w:color="auto"/>
                                                                        <w:bottom w:val="none" w:sz="0" w:space="0" w:color="auto"/>
                                                                        <w:right w:val="none" w:sz="0" w:space="0" w:color="auto"/>
                                                                      </w:divBdr>
                                                                      <w:divsChild>
                                                                        <w:div w:id="314143098">
                                                                          <w:marLeft w:val="0"/>
                                                                          <w:marRight w:val="0"/>
                                                                          <w:marTop w:val="0"/>
                                                                          <w:marBottom w:val="0"/>
                                                                          <w:divBdr>
                                                                            <w:top w:val="none" w:sz="0" w:space="0" w:color="auto"/>
                                                                            <w:left w:val="none" w:sz="0" w:space="0" w:color="auto"/>
                                                                            <w:bottom w:val="none" w:sz="0" w:space="0" w:color="auto"/>
                                                                            <w:right w:val="none" w:sz="0" w:space="0" w:color="auto"/>
                                                                          </w:divBdr>
                                                                          <w:divsChild>
                                                                            <w:div w:id="1078134818">
                                                                              <w:marLeft w:val="0"/>
                                                                              <w:marRight w:val="0"/>
                                                                              <w:marTop w:val="0"/>
                                                                              <w:marBottom w:val="0"/>
                                                                              <w:divBdr>
                                                                                <w:top w:val="none" w:sz="0" w:space="0" w:color="auto"/>
                                                                                <w:left w:val="none" w:sz="0" w:space="0" w:color="auto"/>
                                                                                <w:bottom w:val="none" w:sz="0" w:space="0" w:color="auto"/>
                                                                                <w:right w:val="none" w:sz="0" w:space="0" w:color="auto"/>
                                                                              </w:divBdr>
                                                                              <w:divsChild>
                                                                                <w:div w:id="1304846261">
                                                                                  <w:marLeft w:val="0"/>
                                                                                  <w:marRight w:val="0"/>
                                                                                  <w:marTop w:val="0"/>
                                                                                  <w:marBottom w:val="0"/>
                                                                                  <w:divBdr>
                                                                                    <w:top w:val="none" w:sz="0" w:space="0" w:color="auto"/>
                                                                                    <w:left w:val="none" w:sz="0" w:space="0" w:color="auto"/>
                                                                                    <w:bottom w:val="none" w:sz="0" w:space="0" w:color="auto"/>
                                                                                    <w:right w:val="none" w:sz="0" w:space="0" w:color="auto"/>
                                                                                  </w:divBdr>
                                                                                  <w:divsChild>
                                                                                    <w:div w:id="69085616">
                                                                                      <w:marLeft w:val="0"/>
                                                                                      <w:marRight w:val="0"/>
                                                                                      <w:marTop w:val="0"/>
                                                                                      <w:marBottom w:val="0"/>
                                                                                      <w:divBdr>
                                                                                        <w:top w:val="none" w:sz="0" w:space="0" w:color="auto"/>
                                                                                        <w:left w:val="none" w:sz="0" w:space="0" w:color="auto"/>
                                                                                        <w:bottom w:val="none" w:sz="0" w:space="0" w:color="auto"/>
                                                                                        <w:right w:val="none" w:sz="0" w:space="0" w:color="auto"/>
                                                                                      </w:divBdr>
                                                                                      <w:divsChild>
                                                                                        <w:div w:id="1644655677">
                                                                                          <w:marLeft w:val="0"/>
                                                                                          <w:marRight w:val="0"/>
                                                                                          <w:marTop w:val="0"/>
                                                                                          <w:marBottom w:val="160"/>
                                                                                          <w:divBdr>
                                                                                            <w:top w:val="none" w:sz="0" w:space="0" w:color="auto"/>
                                                                                            <w:left w:val="none" w:sz="0" w:space="0" w:color="auto"/>
                                                                                            <w:bottom w:val="none" w:sz="0" w:space="0" w:color="auto"/>
                                                                                            <w:right w:val="none" w:sz="0" w:space="0" w:color="auto"/>
                                                                                          </w:divBdr>
                                                                                        </w:div>
                                                                                        <w:div w:id="1835073654">
                                                                                          <w:marLeft w:val="0"/>
                                                                                          <w:marRight w:val="0"/>
                                                                                          <w:marTop w:val="0"/>
                                                                                          <w:marBottom w:val="160"/>
                                                                                          <w:divBdr>
                                                                                            <w:top w:val="none" w:sz="0" w:space="0" w:color="auto"/>
                                                                                            <w:left w:val="none" w:sz="0" w:space="0" w:color="auto"/>
                                                                                            <w:bottom w:val="none" w:sz="0" w:space="0" w:color="auto"/>
                                                                                            <w:right w:val="none" w:sz="0" w:space="0" w:color="auto"/>
                                                                                          </w:divBdr>
                                                                                        </w:div>
                                                                                        <w:div w:id="64501222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2016304\Documents\LEAD%20NCHD\TRANSFER%20OF%20TASKS\Transfer%20tasks%20round%201\TOT%20-%20First%20Run%20-%20September-October%20-%20Lates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a:solidFill>
                  <a:sysClr val="windowText" lastClr="000000"/>
                </a:solidFill>
              </a:rPr>
              <a:t>Average Number</a:t>
            </a:r>
            <a:r>
              <a:rPr lang="en-US" sz="1600" baseline="0">
                <a:solidFill>
                  <a:sysClr val="windowText" lastClr="000000"/>
                </a:solidFill>
              </a:rPr>
              <a:t> of Tasks by Gender</a:t>
            </a:r>
            <a:endParaRPr lang="en-US" sz="160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Male</c:v>
          </c:tx>
          <c:spPr>
            <a:solidFill>
              <a:schemeClr val="accent1"/>
            </a:solidFill>
            <a:ln>
              <a:noFill/>
            </a:ln>
            <a:effectLst/>
          </c:spPr>
          <c:invertIfNegative val="0"/>
          <c:cat>
            <c:strRef>
              <c:f>GENDER!$Q$56:$Q$58</c:f>
              <c:strCache>
                <c:ptCount val="3"/>
                <c:pt idx="0">
                  <c:v>Phlebotomy</c:v>
                </c:pt>
                <c:pt idx="1">
                  <c:v>Cannula</c:v>
                </c:pt>
                <c:pt idx="2">
                  <c:v>ECG</c:v>
                </c:pt>
              </c:strCache>
            </c:strRef>
          </c:cat>
          <c:val>
            <c:numRef>
              <c:f>GENDER!$R$56:$R$58</c:f>
              <c:numCache>
                <c:formatCode>General</c:formatCode>
                <c:ptCount val="3"/>
                <c:pt idx="0">
                  <c:v>15</c:v>
                </c:pt>
                <c:pt idx="1">
                  <c:v>8.6999999999999993</c:v>
                </c:pt>
                <c:pt idx="2">
                  <c:v>0.9</c:v>
                </c:pt>
              </c:numCache>
            </c:numRef>
          </c:val>
        </c:ser>
        <c:ser>
          <c:idx val="1"/>
          <c:order val="1"/>
          <c:tx>
            <c:v>Female</c:v>
          </c:tx>
          <c:spPr>
            <a:solidFill>
              <a:schemeClr val="accent2"/>
            </a:solidFill>
            <a:ln>
              <a:noFill/>
            </a:ln>
            <a:effectLst/>
          </c:spPr>
          <c:invertIfNegative val="0"/>
          <c:cat>
            <c:strRef>
              <c:f>GENDER!$Q$56:$Q$58</c:f>
              <c:strCache>
                <c:ptCount val="3"/>
                <c:pt idx="0">
                  <c:v>Phlebotomy</c:v>
                </c:pt>
                <c:pt idx="1">
                  <c:v>Cannula</c:v>
                </c:pt>
                <c:pt idx="2">
                  <c:v>ECG</c:v>
                </c:pt>
              </c:strCache>
            </c:strRef>
          </c:cat>
          <c:val>
            <c:numRef>
              <c:f>GENDER!$S$56:$S$58</c:f>
              <c:numCache>
                <c:formatCode>General</c:formatCode>
                <c:ptCount val="3"/>
                <c:pt idx="0">
                  <c:v>16.399999999999999</c:v>
                </c:pt>
                <c:pt idx="1">
                  <c:v>9.9</c:v>
                </c:pt>
                <c:pt idx="2">
                  <c:v>2.7</c:v>
                </c:pt>
              </c:numCache>
            </c:numRef>
          </c:val>
        </c:ser>
        <c:dLbls>
          <c:showLegendKey val="0"/>
          <c:showVal val="0"/>
          <c:showCatName val="0"/>
          <c:showSerName val="0"/>
          <c:showPercent val="0"/>
          <c:showBubbleSize val="0"/>
        </c:dLbls>
        <c:gapWidth val="150"/>
        <c:axId val="327783296"/>
        <c:axId val="327780552"/>
      </c:barChart>
      <c:catAx>
        <c:axId val="32778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7780552"/>
        <c:crosses val="autoZero"/>
        <c:auto val="1"/>
        <c:lblAlgn val="ctr"/>
        <c:lblOffset val="100"/>
        <c:noMultiLvlLbl val="0"/>
      </c:catAx>
      <c:valAx>
        <c:axId val="327780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7783296"/>
        <c:crosses val="autoZero"/>
        <c:crossBetween val="between"/>
      </c:valAx>
      <c:spPr>
        <a:noFill/>
        <a:ln>
          <a:noFill/>
        </a:ln>
        <a:effectLst/>
      </c:spPr>
    </c:plotArea>
    <c:legend>
      <c:legendPos val="r"/>
      <c:layout>
        <c:manualLayout>
          <c:xMode val="edge"/>
          <c:yMode val="edge"/>
          <c:x val="0.80799767953534096"/>
          <c:y val="0.39547561253559504"/>
          <c:w val="0.18037000091969635"/>
          <c:h val="0.221086752396444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St. James Hospital</Company>
  <LinksUpToDate>false</LinksUpToDate>
  <CharactersWithSpaces>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Chapman, Lucy</dc:creator>
  <cp:keywords/>
  <dc:description/>
  <cp:lastModifiedBy>Chapman, Lucy</cp:lastModifiedBy>
  <cp:revision>7</cp:revision>
  <dcterms:created xsi:type="dcterms:W3CDTF">2018-04-24T19:32:00Z</dcterms:created>
  <dcterms:modified xsi:type="dcterms:W3CDTF">2018-04-24T22:13:00Z</dcterms:modified>
</cp:coreProperties>
</file>