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D63784" w14:textId="77777777" w:rsidR="006F16E1" w:rsidRDefault="006F16E1" w:rsidP="006F16E1">
      <w:pPr>
        <w:jc w:val="center"/>
        <w:rPr>
          <w:b/>
        </w:rPr>
      </w:pPr>
      <w:r>
        <w:rPr>
          <w:b/>
        </w:rPr>
        <w:t xml:space="preserve">Targeting Leukemic Stem </w:t>
      </w:r>
      <w:proofErr w:type="gramStart"/>
      <w:r>
        <w:rPr>
          <w:b/>
        </w:rPr>
        <w:t>Cells  using</w:t>
      </w:r>
      <w:proofErr w:type="gramEnd"/>
      <w:r>
        <w:rPr>
          <w:b/>
        </w:rPr>
        <w:t xml:space="preserve"> an Inhibitor of DNA Methylation (5-aza-2'-deoxycytidine) in Combination with an Inhibitor of EZH2 (3-Deazaneplanocin A)</w:t>
      </w:r>
    </w:p>
    <w:p w14:paraId="2B1CC614" w14:textId="77777777" w:rsidR="00E02327" w:rsidRDefault="00E02327" w:rsidP="006F16E1">
      <w:pPr>
        <w:jc w:val="center"/>
        <w:rPr>
          <w:rFonts w:ascii="Times New Roman" w:hAnsi="Times New Roman"/>
        </w:rPr>
      </w:pPr>
    </w:p>
    <w:p w14:paraId="09E7C250" w14:textId="77777777" w:rsidR="006F16E1" w:rsidRDefault="006F16E1" w:rsidP="006F16E1">
      <w:pPr>
        <w:jc w:val="center"/>
        <w:rPr>
          <w:rFonts w:ascii="Times New Roman" w:hAnsi="Times New Roman"/>
        </w:rPr>
      </w:pPr>
      <w:r>
        <w:rPr>
          <w:rFonts w:ascii="Times New Roman" w:hAnsi="Times New Roman"/>
        </w:rPr>
        <w:t xml:space="preserve">Richard L. </w:t>
      </w:r>
      <w:proofErr w:type="spellStart"/>
      <w:r>
        <w:rPr>
          <w:rFonts w:ascii="Times New Roman" w:hAnsi="Times New Roman"/>
        </w:rPr>
        <w:t>Momparler</w:t>
      </w:r>
      <w:proofErr w:type="spellEnd"/>
    </w:p>
    <w:p w14:paraId="1B1630C3" w14:textId="77777777" w:rsidR="006F16E1" w:rsidRDefault="006F16E1" w:rsidP="006F16E1">
      <w:pPr>
        <w:jc w:val="center"/>
        <w:rPr>
          <w:rFonts w:ascii="Times New Roman" w:hAnsi="Times New Roman"/>
        </w:rPr>
      </w:pPr>
    </w:p>
    <w:p w14:paraId="3D595712" w14:textId="5F4710E2" w:rsidR="006F16E1" w:rsidRDefault="006F16E1" w:rsidP="006F16E1">
      <w:proofErr w:type="spellStart"/>
      <w:r>
        <w:t>Département</w:t>
      </w:r>
      <w:proofErr w:type="spellEnd"/>
      <w:r>
        <w:t xml:space="preserve"> de </w:t>
      </w:r>
      <w:proofErr w:type="spellStart"/>
      <w:r>
        <w:t>Pharmacologie</w:t>
      </w:r>
      <w:proofErr w:type="spellEnd"/>
      <w:r>
        <w:t xml:space="preserve">, </w:t>
      </w:r>
      <w:r w:rsidR="00B75EA3">
        <w:t>(</w:t>
      </w:r>
      <w:proofErr w:type="spellStart"/>
      <w:r>
        <w:t>Université</w:t>
      </w:r>
      <w:proofErr w:type="spellEnd"/>
      <w:r>
        <w:t xml:space="preserve"> de Montréal</w:t>
      </w:r>
      <w:r w:rsidR="00B75EA3">
        <w:t>)</w:t>
      </w:r>
      <w:r>
        <w:t xml:space="preserve"> &amp; Centre de </w:t>
      </w:r>
      <w:proofErr w:type="spellStart"/>
      <w:r>
        <w:t>recherche</w:t>
      </w:r>
      <w:proofErr w:type="spellEnd"/>
      <w:r>
        <w:t xml:space="preserve">, Service </w:t>
      </w:r>
      <w:proofErr w:type="spellStart"/>
      <w:r>
        <w:t>d’hématologie</w:t>
      </w:r>
      <w:proofErr w:type="spellEnd"/>
      <w:r>
        <w:t>/</w:t>
      </w:r>
      <w:proofErr w:type="spellStart"/>
      <w:r>
        <w:t>oncologie</w:t>
      </w:r>
      <w:proofErr w:type="spellEnd"/>
      <w:r>
        <w:t xml:space="preserve">, </w:t>
      </w:r>
      <w:r w:rsidR="00B75EA3">
        <w:t>(</w:t>
      </w:r>
      <w:r>
        <w:t>CHU-Saint-Justine</w:t>
      </w:r>
      <w:r w:rsidR="00B75EA3">
        <w:t>)</w:t>
      </w:r>
      <w:r>
        <w:t>, Montréal, Québec, Canada</w:t>
      </w:r>
    </w:p>
    <w:p w14:paraId="276E2A27" w14:textId="77777777" w:rsidR="006F16E1" w:rsidRDefault="006F16E1" w:rsidP="006F16E1">
      <w:pPr>
        <w:rPr>
          <w:rFonts w:ascii="Times New Roman" w:hAnsi="Times New Roman"/>
        </w:rPr>
      </w:pPr>
    </w:p>
    <w:p w14:paraId="4853E120" w14:textId="0217FFA0" w:rsidR="008428EA" w:rsidRDefault="000B5546" w:rsidP="006F16E1">
      <w:pPr>
        <w:rPr>
          <w:rFonts w:ascii="Times New Roman" w:hAnsi="Times New Roman"/>
          <w:b/>
        </w:rPr>
      </w:pPr>
      <w:r>
        <w:rPr>
          <w:rFonts w:ascii="Times New Roman" w:hAnsi="Times New Roman"/>
          <w:b/>
        </w:rPr>
        <w:t>Abstract</w:t>
      </w:r>
    </w:p>
    <w:p w14:paraId="252E73AA" w14:textId="77777777" w:rsidR="000B5546" w:rsidRDefault="000B5546" w:rsidP="006F16E1">
      <w:pPr>
        <w:rPr>
          <w:rFonts w:ascii="Times New Roman" w:hAnsi="Times New Roman"/>
          <w:b/>
        </w:rPr>
      </w:pPr>
    </w:p>
    <w:p w14:paraId="08867B5F" w14:textId="77777777" w:rsidR="000B5546" w:rsidRDefault="000B5546" w:rsidP="000B5546">
      <w:pPr>
        <w:jc w:val="both"/>
      </w:pPr>
      <w:r w:rsidRPr="00653E6F">
        <w:t>Preclinical studies h</w:t>
      </w:r>
      <w:r>
        <w:t xml:space="preserve">ave shown that the </w:t>
      </w:r>
      <w:r w:rsidRPr="00653E6F">
        <w:t xml:space="preserve">potent inhibitor of DNA methylation, 5-aza-2’-deoxcytidine (5AZA-CdR) shows remarkable antineoplastic activity against </w:t>
      </w:r>
      <w:r>
        <w:t>acute myeloid leukemia (AML). 5AZA-CdR</w:t>
      </w:r>
      <w:r w:rsidRPr="00653E6F">
        <w:t xml:space="preserve"> is approved for the treatment of the hematologic malignancies, AML and MDS</w:t>
      </w:r>
      <w:proofErr w:type="gramStart"/>
      <w:r w:rsidRPr="00653E6F">
        <w:t>..</w:t>
      </w:r>
      <w:proofErr w:type="gramEnd"/>
      <w:r w:rsidRPr="00653E6F">
        <w:t xml:space="preserve"> However, the optimal dose-schedule remains to be determined. Colonies assays reveal that 5AZA-CdR can eradicate &gt;99.9% of myeloid leukemic cells. We have to determine how &lt;0.01% of the leukemic cells survive the treatment with 5AZA-CdR. One possible mechanism is due to the deficiency in </w:t>
      </w:r>
      <w:proofErr w:type="spellStart"/>
      <w:r w:rsidRPr="00653E6F">
        <w:t>deoxycytidine</w:t>
      </w:r>
      <w:proofErr w:type="spellEnd"/>
      <w:r w:rsidRPr="00653E6F">
        <w:t xml:space="preserve"> kinase (DK), </w:t>
      </w:r>
      <w:r>
        <w:t xml:space="preserve">the </w:t>
      </w:r>
      <w:r w:rsidRPr="00653E6F">
        <w:t xml:space="preserve">enzyme that activates the </w:t>
      </w:r>
      <w:proofErr w:type="spellStart"/>
      <w:r w:rsidRPr="00653E6F">
        <w:t>prodrug</w:t>
      </w:r>
      <w:proofErr w:type="spellEnd"/>
      <w:r w:rsidRPr="00653E6F">
        <w:t>, 5AZA-CdR.</w:t>
      </w:r>
      <w:r>
        <w:t xml:space="preserve"> </w:t>
      </w:r>
      <w:r w:rsidRPr="00653E6F">
        <w:t>A second mechanism that can limit the curative potential</w:t>
      </w:r>
      <w:r>
        <w:t xml:space="preserve"> of 5AZA-CdR</w:t>
      </w:r>
      <w:r w:rsidRPr="00653E6F">
        <w:t xml:space="preserve"> against leukemia is the presence of epigenetic gene-silencing marker, H3K27me3, on key tumor suppressor genes (TSGs). The methylation of H3K27 is catalyzed by EZH2 histone </w:t>
      </w:r>
      <w:proofErr w:type="spellStart"/>
      <w:r w:rsidRPr="00653E6F">
        <w:t>methyltransferase</w:t>
      </w:r>
      <w:proofErr w:type="spellEnd"/>
      <w:r w:rsidRPr="00653E6F">
        <w:t xml:space="preserve">. </w:t>
      </w:r>
      <w:r>
        <w:t>I propose that l</w:t>
      </w:r>
      <w:r w:rsidRPr="00653E6F">
        <w:t xml:space="preserve">eukemic </w:t>
      </w:r>
      <w:r>
        <w:t xml:space="preserve">stem </w:t>
      </w:r>
      <w:r w:rsidRPr="00653E6F">
        <w:t>cells</w:t>
      </w:r>
      <w:r>
        <w:t xml:space="preserve"> (LSC)</w:t>
      </w:r>
      <w:r w:rsidRPr="00653E6F">
        <w:t xml:space="preserve"> that have a double "lock" mechanism (DNA methylation and H3K27me3) on </w:t>
      </w:r>
      <w:r>
        <w:t>key TSGs so as to</w:t>
      </w:r>
      <w:r w:rsidRPr="00653E6F">
        <w:t xml:space="preserve"> escape the chemotherapeutic action of 5AZA-CdR and block its curative potential.</w:t>
      </w:r>
      <w:r>
        <w:t xml:space="preserve"> This hypothesis is supported by the preclinical data that shows that </w:t>
      </w:r>
      <w:r w:rsidRPr="00653E6F">
        <w:t>5AZA-CdR</w:t>
      </w:r>
      <w:r>
        <w:t xml:space="preserve"> in combination with an inhibitor of EZH2, such as 3-deazaneplanocin </w:t>
      </w:r>
      <w:proofErr w:type="gramStart"/>
      <w:r>
        <w:t>A</w:t>
      </w:r>
      <w:proofErr w:type="gramEnd"/>
      <w:r>
        <w:t xml:space="preserve"> (</w:t>
      </w:r>
      <w:proofErr w:type="spellStart"/>
      <w:r>
        <w:t>DZNep</w:t>
      </w:r>
      <w:proofErr w:type="spellEnd"/>
      <w:r>
        <w:t xml:space="preserve">) display a remarkable synergy against leukemic cells that is much greater than either agent alone. In addition, the combination of these agents exhibits a pronounced activation of gene expression of thousands of genes, indicating that the "double lock" mechanism of gene silencing is a predominant epigenetic alteration in LSCs. One of the hallmarks of LSCs is the block in normal differentiation, which requires the "turning off" the expression of thousands of developmental genes. LSCs most likely use this mechanism to program the malignancy phenotype. Curative therapy of AML requires the complete eradication of all the LSCs. These observations suggest that the combination of </w:t>
      </w:r>
      <w:r w:rsidRPr="00653E6F">
        <w:t>5AZA-CdR</w:t>
      </w:r>
      <w:r>
        <w:t xml:space="preserve"> and </w:t>
      </w:r>
      <w:proofErr w:type="spellStart"/>
      <w:r>
        <w:t>DZNep</w:t>
      </w:r>
      <w:proofErr w:type="spellEnd"/>
      <w:r>
        <w:t xml:space="preserve"> target LSCs and have the "curative potential" of AML. </w:t>
      </w:r>
    </w:p>
    <w:p w14:paraId="6DB65FCF" w14:textId="77777777" w:rsidR="000B5546" w:rsidRPr="000B5546" w:rsidRDefault="000B5546" w:rsidP="006F16E1">
      <w:pPr>
        <w:rPr>
          <w:rFonts w:ascii="Times New Roman" w:hAnsi="Times New Roman"/>
          <w:b/>
        </w:rPr>
      </w:pPr>
    </w:p>
    <w:p w14:paraId="20B196F3" w14:textId="77777777" w:rsidR="008428EA" w:rsidRDefault="008428EA" w:rsidP="006F16E1">
      <w:pPr>
        <w:rPr>
          <w:rFonts w:ascii="Times New Roman" w:hAnsi="Times New Roman"/>
          <w:i/>
        </w:rPr>
      </w:pPr>
      <w:r>
        <w:rPr>
          <w:rFonts w:ascii="Times New Roman" w:hAnsi="Times New Roman"/>
        </w:rPr>
        <w:t xml:space="preserve">Keywords- </w:t>
      </w:r>
      <w:r w:rsidRPr="003011FB">
        <w:rPr>
          <w:rFonts w:ascii="Times New Roman" w:hAnsi="Times New Roman"/>
          <w:i/>
        </w:rPr>
        <w:t>chemotherapy, epigenetic therapy, myeloid leukemia target stem cells</w:t>
      </w:r>
    </w:p>
    <w:p w14:paraId="3F8B3161" w14:textId="77777777" w:rsidR="003011FB" w:rsidRDefault="003011FB" w:rsidP="006F16E1">
      <w:pPr>
        <w:rPr>
          <w:rFonts w:ascii="Times New Roman" w:hAnsi="Times New Roman"/>
          <w:i/>
        </w:rPr>
      </w:pPr>
    </w:p>
    <w:p w14:paraId="59F22A28" w14:textId="7DAC6336" w:rsidR="003011FB" w:rsidRDefault="003011FB" w:rsidP="006F16E1">
      <w:pPr>
        <w:rPr>
          <w:rFonts w:ascii="Times New Roman" w:hAnsi="Times New Roman"/>
          <w:b/>
        </w:rPr>
      </w:pPr>
      <w:r>
        <w:rPr>
          <w:rFonts w:ascii="Times New Roman" w:hAnsi="Times New Roman"/>
          <w:b/>
        </w:rPr>
        <w:t>Professional Biography</w:t>
      </w:r>
    </w:p>
    <w:p w14:paraId="3A482B28" w14:textId="77777777" w:rsidR="003011FB" w:rsidRDefault="003011FB" w:rsidP="006F16E1">
      <w:pPr>
        <w:rPr>
          <w:rFonts w:ascii="Times New Roman" w:hAnsi="Times New Roman"/>
          <w:b/>
        </w:rPr>
      </w:pPr>
    </w:p>
    <w:p w14:paraId="6D610B32" w14:textId="5CD5D6C3" w:rsidR="00B75EA3" w:rsidRDefault="00CC0F1A" w:rsidP="00373198">
      <w:pPr>
        <w:jc w:val="both"/>
      </w:pPr>
      <w:r w:rsidRPr="00CC0F1A">
        <w:rPr>
          <w:rFonts w:ascii="Times New Roman" w:hAnsi="Times New Roman"/>
        </w:rPr>
        <w:t>Richar</w:t>
      </w:r>
      <w:r w:rsidR="00B75EA3">
        <w:rPr>
          <w:rFonts w:ascii="Times New Roman" w:hAnsi="Times New Roman"/>
        </w:rPr>
        <w:t xml:space="preserve">d L. </w:t>
      </w:r>
      <w:proofErr w:type="spellStart"/>
      <w:r>
        <w:rPr>
          <w:rFonts w:ascii="Times New Roman" w:hAnsi="Times New Roman"/>
        </w:rPr>
        <w:t>Momparler</w:t>
      </w:r>
      <w:proofErr w:type="spellEnd"/>
      <w:r>
        <w:rPr>
          <w:rFonts w:ascii="Times New Roman" w:hAnsi="Times New Roman"/>
        </w:rPr>
        <w:t xml:space="preserve"> received his Ph.D. in pharmacology from the University of Vermont. He completed post-doctoral studies at Yale University and International Laboratory of Genetics &amp; Biophysics</w:t>
      </w:r>
      <w:r w:rsidR="00373198">
        <w:rPr>
          <w:rFonts w:ascii="Times New Roman" w:hAnsi="Times New Roman"/>
        </w:rPr>
        <w:t>, Naples, Italy</w:t>
      </w:r>
      <w:r>
        <w:rPr>
          <w:rFonts w:ascii="Times New Roman" w:hAnsi="Times New Roman"/>
        </w:rPr>
        <w:t>. He was associate professor in pharmacology at the University of S</w:t>
      </w:r>
      <w:r w:rsidR="00B75EA3">
        <w:rPr>
          <w:rFonts w:ascii="Times New Roman" w:hAnsi="Times New Roman"/>
        </w:rPr>
        <w:t xml:space="preserve">outhern California and Children’s Hospital of Los Angeles. He is currently full professor in pharmacology at </w:t>
      </w:r>
      <w:proofErr w:type="spellStart"/>
      <w:r w:rsidR="00B75EA3">
        <w:t>Université</w:t>
      </w:r>
      <w:proofErr w:type="spellEnd"/>
      <w:r w:rsidR="00B75EA3">
        <w:t xml:space="preserve"> de Montréal &amp; Centre de </w:t>
      </w:r>
      <w:proofErr w:type="spellStart"/>
      <w:r w:rsidR="00B75EA3">
        <w:t>recherche</w:t>
      </w:r>
      <w:proofErr w:type="spellEnd"/>
      <w:r w:rsidR="00B75EA3">
        <w:t xml:space="preserve">, Service </w:t>
      </w:r>
      <w:proofErr w:type="spellStart"/>
      <w:r w:rsidR="00B75EA3">
        <w:t>d’hématologie</w:t>
      </w:r>
      <w:proofErr w:type="spellEnd"/>
      <w:r w:rsidR="00B75EA3">
        <w:t>/</w:t>
      </w:r>
      <w:proofErr w:type="spellStart"/>
      <w:r w:rsidR="00B75EA3">
        <w:t>oncologie</w:t>
      </w:r>
      <w:proofErr w:type="spellEnd"/>
      <w:r w:rsidR="00B75EA3">
        <w:t xml:space="preserve">, CHU-Saint-Justine, Montréal, </w:t>
      </w:r>
      <w:proofErr w:type="gramStart"/>
      <w:r w:rsidR="00B75EA3">
        <w:t>Québec</w:t>
      </w:r>
      <w:proofErr w:type="gramEnd"/>
      <w:r w:rsidR="00B75EA3">
        <w:t>, Canada. He has more than 100 publications on the pharmacology of nucleoside analogues and epigenetic therapy of cancer.</w:t>
      </w:r>
    </w:p>
    <w:p w14:paraId="3EF761A5" w14:textId="77777777" w:rsidR="00B75EA3" w:rsidRDefault="00B75EA3" w:rsidP="00B75EA3">
      <w:pPr>
        <w:rPr>
          <w:rFonts w:ascii="Times New Roman" w:hAnsi="Times New Roman"/>
        </w:rPr>
      </w:pPr>
    </w:p>
    <w:p w14:paraId="59670BF9" w14:textId="7FFD08E6" w:rsidR="003011FB" w:rsidRPr="00CC0F1A" w:rsidRDefault="00373198" w:rsidP="006F16E1">
      <w:pPr>
        <w:rPr>
          <w:rFonts w:ascii="Times New Roman" w:hAnsi="Times New Roman"/>
        </w:rPr>
      </w:pPr>
      <w:r>
        <w:rPr>
          <w:rFonts w:ascii="Times New Roman" w:hAnsi="Times New Roman"/>
          <w:noProof/>
        </w:rPr>
        <w:lastRenderedPageBreak/>
        <w:drawing>
          <wp:inline distT="0" distB="0" distL="0" distR="0" wp14:anchorId="6BD4ABB4" wp14:editId="176B0720">
            <wp:extent cx="4064000" cy="2700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4000" cy="2700655"/>
                    </a:xfrm>
                    <a:prstGeom prst="rect">
                      <a:avLst/>
                    </a:prstGeom>
                    <a:noFill/>
                    <a:ln>
                      <a:noFill/>
                    </a:ln>
                  </pic:spPr>
                </pic:pic>
              </a:graphicData>
            </a:graphic>
          </wp:inline>
        </w:drawing>
      </w:r>
      <w:bookmarkStart w:id="0" w:name="_GoBack"/>
      <w:bookmarkEnd w:id="0"/>
    </w:p>
    <w:sectPr w:rsidR="003011FB" w:rsidRPr="00CC0F1A" w:rsidSect="000B5546">
      <w:pgSz w:w="12240" w:h="15840"/>
      <w:pgMar w:top="964" w:right="964" w:bottom="96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6E1"/>
    <w:rsid w:val="000B5546"/>
    <w:rsid w:val="003011FB"/>
    <w:rsid w:val="00310BA7"/>
    <w:rsid w:val="00373198"/>
    <w:rsid w:val="006F16E1"/>
    <w:rsid w:val="008428EA"/>
    <w:rsid w:val="00922F2D"/>
    <w:rsid w:val="00B75EA3"/>
    <w:rsid w:val="00CC0F1A"/>
    <w:rsid w:val="00E0232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3661D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6E1"/>
    <w:rPr>
      <w:rFonts w:ascii="Cambria" w:eastAsia="ＭＳ 明朝" w:hAnsi="Cambria"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319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3198"/>
    <w:rPr>
      <w:rFonts w:ascii="Lucida Grande" w:eastAsia="ＭＳ 明朝" w:hAnsi="Lucida Grande" w:cs="Lucida Grande"/>
      <w:sz w:val="18"/>
      <w:szCs w:val="18"/>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6E1"/>
    <w:rPr>
      <w:rFonts w:ascii="Cambria" w:eastAsia="ＭＳ 明朝" w:hAnsi="Cambria"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319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3198"/>
    <w:rPr>
      <w:rFonts w:ascii="Lucida Grande" w:eastAsia="ＭＳ 明朝" w:hAnsi="Lucida Grande" w:cs="Lucida Grand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462</Words>
  <Characters>2636</Characters>
  <Application>Microsoft Macintosh Word</Application>
  <DocSecurity>0</DocSecurity>
  <Lines>21</Lines>
  <Paragraphs>6</Paragraphs>
  <ScaleCrop>false</ScaleCrop>
  <Company/>
  <LinksUpToDate>false</LinksUpToDate>
  <CharactersWithSpaces>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5</cp:revision>
  <dcterms:created xsi:type="dcterms:W3CDTF">2018-08-23T23:24:00Z</dcterms:created>
  <dcterms:modified xsi:type="dcterms:W3CDTF">2018-08-24T00:15:00Z</dcterms:modified>
</cp:coreProperties>
</file>