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769CC">
      <w:pPr>
        <w:pStyle w:val="BodyText"/>
        <w:rPr>
          <w:rFonts w:ascii="Arial"/>
        </w:rPr>
      </w:pPr>
      <w:r>
        <w:rPr>
          <w:rFonts w:ascii="Arial"/>
        </w:rPr>
        <w:t xml:space="preserve">Chronic otitis media </w:t>
      </w:r>
      <w:r>
        <w:rPr>
          <w:rFonts w:ascii="Arial"/>
        </w:rPr>
        <w:t>–</w:t>
      </w:r>
      <w:r>
        <w:rPr>
          <w:rFonts w:ascii="Arial"/>
        </w:rPr>
        <w:t xml:space="preserve">AAD with aural polyp in a profound intellectual </w:t>
      </w:r>
      <w:r w:rsidR="00462D18">
        <w:rPr>
          <w:rFonts w:ascii="Arial"/>
        </w:rPr>
        <w:t xml:space="preserve">disabled </w:t>
      </w:r>
      <w:r>
        <w:rPr>
          <w:rFonts w:ascii="Arial"/>
        </w:rPr>
        <w:t>girl without facial Nerve palsy.</w:t>
      </w:r>
    </w:p>
    <w:p w:rsidR="008769CC" w:rsidRDefault="008769CC">
      <w:pPr>
        <w:pStyle w:val="BodyText"/>
        <w:rPr>
          <w:rFonts w:ascii="Arial"/>
          <w:sz w:val="20"/>
        </w:rPr>
      </w:pPr>
      <w:r>
        <w:rPr>
          <w:rFonts w:ascii="Arial"/>
        </w:rPr>
        <w:t>DR SA Panchappa.Dr RK Swamirao</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8769CC">
      <w:pPr>
        <w:pStyle w:val="BodyText"/>
        <w:spacing w:before="90" w:line="280" w:lineRule="auto"/>
        <w:ind w:left="100"/>
        <w:jc w:val="both"/>
      </w:pPr>
      <w:r>
        <w:t>Chronic otitis media implies a permanent abnormality of the pars tensa or pars flacida due to earlier acute otitis media,negative middle ear pressure or otitis media with effusion(&gt;3 months).Atticoantral disease most commonly involves the pars flacida and charecterised by formation of stratified squamous epithelium</w:t>
      </w:r>
      <w:r w:rsidR="00BB643A">
        <w:t>;the matrix of which is composed of epithelium that rests on a stroma of varying thickness.Residual and recurrent cholesteatoma common in childhood cholesteatoma.Case history-A female of chronological age 25 yrs,mental age of 10 yrsand IQ of 40 presented with recurrent foul smelling left ear discharge since childhood and mass in the left ear past one year.There is a pale pink polyp n the canal with right beating nystagmus,without gait instability,without facial asymmetry.Neuromedicine and psychiatry medicine opinion obtained.After basic investigations,BERA,CT temporal bones,planned for mastoidectomy and proceed.Conclusion-Post operatively the facial nerve intact functionally.Intellectual disability affects 2% to 3% of total population</w:t>
      </w:r>
      <w:r w:rsidR="00462D18">
        <w:t xml:space="preserve"> and profound intellectual disability seen in the 25% of them.</w:t>
      </w:r>
    </w:p>
    <w:p w:rsidR="00462D18" w:rsidRDefault="00462D18">
      <w:pPr>
        <w:pStyle w:val="BodyText"/>
        <w:spacing w:before="90" w:line="280" w:lineRule="auto"/>
        <w:ind w:left="100"/>
        <w:jc w:val="both"/>
      </w:pPr>
    </w:p>
    <w:p w:rsidR="006166EF" w:rsidRPr="00FF277C" w:rsidRDefault="006166EF" w:rsidP="00FF277C">
      <w:pPr>
        <w:pStyle w:val="Heading3"/>
        <w:spacing w:before="74"/>
      </w:pPr>
      <w:r>
        <w:rPr>
          <w:b w:val="0"/>
          <w:noProof/>
          <w:lang w:val="en-IN" w:eastAsia="en-IN"/>
        </w:rPr>
        <w:drawing>
          <wp:inline distT="0" distB="0" distL="0" distR="0">
            <wp:extent cx="3089910" cy="1353312"/>
            <wp:effectExtent l="19050" t="0" r="0" b="0"/>
            <wp:docPr id="33" name="Picture 33" descr="C:\Users\Suman Raj\Desktop\DR SUMMAN - FL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uman Raj\Desktop\DR SUMMAN - FLEX.jpg"/>
                    <pic:cNvPicPr>
                      <a:picLocks noChangeAspect="1" noChangeArrowheads="1"/>
                    </pic:cNvPicPr>
                  </pic:nvPicPr>
                  <pic:blipFill>
                    <a:blip r:embed="rId9"/>
                    <a:srcRect/>
                    <a:stretch>
                      <a:fillRect/>
                    </a:stretch>
                  </pic:blipFill>
                  <pic:spPr bwMode="auto">
                    <a:xfrm>
                      <a:off x="0" y="0"/>
                      <a:ext cx="3092267" cy="1354344"/>
                    </a:xfrm>
                    <a:prstGeom prst="rect">
                      <a:avLst/>
                    </a:prstGeom>
                    <a:noFill/>
                    <a:ln w="9525">
                      <a:noFill/>
                      <a:miter lim="800000"/>
                      <a:headEnd/>
                      <a:tailEnd/>
                    </a:ln>
                  </pic:spPr>
                </pic:pic>
              </a:graphicData>
            </a:graphic>
          </wp:inline>
        </w:drawing>
      </w:r>
      <w:r w:rsidR="00A9710C">
        <w:rPr>
          <w:b w:val="0"/>
        </w:rPr>
        <w:br w:type="column"/>
      </w:r>
    </w:p>
    <w:p w:rsidR="006166EF" w:rsidRDefault="006166EF"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Default="00A8252A" w:rsidP="00202F20">
      <w:pPr>
        <w:tabs>
          <w:tab w:val="left" w:pos="384"/>
        </w:tabs>
        <w:ind w:right="117"/>
        <w:rPr>
          <w:rStyle w:val="occurrence"/>
          <w:color w:val="333333"/>
          <w:spacing w:val="1"/>
          <w:sz w:val="16"/>
          <w:szCs w:val="16"/>
          <w:shd w:val="clear" w:color="auto" w:fill="FCFCFC"/>
        </w:rPr>
      </w:pPr>
      <w:r>
        <w:t>1.</w:t>
      </w:r>
      <w:r w:rsidRPr="00202F20">
        <w:rPr>
          <w:color w:val="333333"/>
          <w:spacing w:val="1"/>
          <w:sz w:val="16"/>
          <w:szCs w:val="16"/>
          <w:shd w:val="clear" w:color="auto" w:fill="FCFCFC"/>
        </w:rPr>
        <w:t>American Academy of Family Physicians, American Academy of Otolaryngology-Head and Neck Surgery, American Academy of Pediatrics Subcommittee on Otitis Media with Effusion. Otitis media with effusion. Pediatrics. 2004;113:1412–29.</w:t>
      </w:r>
      <w:hyperlink r:id="rId10" w:tgtFrame="_blank" w:history="1">
        <w:r w:rsidRPr="00202F20">
          <w:rPr>
            <w:rStyle w:val="Hyperlink"/>
            <w:color w:val="4500A7"/>
            <w:spacing w:val="1"/>
            <w:sz w:val="16"/>
            <w:szCs w:val="16"/>
            <w:shd w:val="clear" w:color="auto" w:fill="FCFCFC"/>
          </w:rPr>
          <w:t>Google Scholar</w:t>
        </w:r>
      </w:hyperlink>
    </w:p>
    <w:p w:rsidR="00202F20" w:rsidRDefault="00202F20" w:rsidP="00202F20">
      <w:pPr>
        <w:tabs>
          <w:tab w:val="left" w:pos="384"/>
        </w:tabs>
        <w:ind w:right="117"/>
        <w:rPr>
          <w:rFonts w:ascii="Georgia" w:hAnsi="Georgia"/>
          <w:color w:val="333333"/>
          <w:spacing w:val="1"/>
          <w:sz w:val="20"/>
          <w:szCs w:val="20"/>
          <w:shd w:val="clear" w:color="auto" w:fill="FCFCFC"/>
        </w:rPr>
      </w:pPr>
      <w:r>
        <w:rPr>
          <w:rStyle w:val="occurrence"/>
          <w:color w:val="333333"/>
          <w:spacing w:val="1"/>
          <w:sz w:val="16"/>
          <w:szCs w:val="16"/>
          <w:shd w:val="clear" w:color="auto" w:fill="FCFCFC"/>
        </w:rPr>
        <w:t>2.</w:t>
      </w:r>
      <w:r w:rsidRPr="00202F20">
        <w:rPr>
          <w:rFonts w:ascii="Georgia" w:hAnsi="Georgia"/>
          <w:color w:val="333333"/>
          <w:spacing w:val="1"/>
          <w:sz w:val="20"/>
          <w:szCs w:val="20"/>
          <w:shd w:val="clear" w:color="auto" w:fill="FCFCFC"/>
        </w:rPr>
        <w:t xml:space="preserve"> </w:t>
      </w:r>
      <w:r w:rsidRPr="00202F20">
        <w:rPr>
          <w:color w:val="333333"/>
          <w:spacing w:val="1"/>
          <w:sz w:val="16"/>
          <w:szCs w:val="16"/>
          <w:shd w:val="clear" w:color="auto" w:fill="FCFCFC"/>
        </w:rPr>
        <w:t>Antonelli PJ, Garside JA, Mancuso AA, Strickler ST, Kubilis PS. Computed tomography and the diagnosis of coalescent mastoiditis. Otolaryngol Head Neck Surg. 1999;120:350–4</w:t>
      </w:r>
      <w:r>
        <w:rPr>
          <w:rFonts w:ascii="Georgia" w:hAnsi="Georgia"/>
          <w:color w:val="333333"/>
          <w:spacing w:val="1"/>
          <w:sz w:val="20"/>
          <w:szCs w:val="20"/>
          <w:shd w:val="clear" w:color="auto" w:fill="FCFCFC"/>
        </w:rPr>
        <w:t>.</w:t>
      </w:r>
    </w:p>
    <w:p w:rsidR="00202F20" w:rsidRPr="00202F20" w:rsidRDefault="00202F20" w:rsidP="00202F20">
      <w:pPr>
        <w:shd w:val="clear" w:color="auto" w:fill="FFFFFF"/>
        <w:rPr>
          <w:color w:val="000000"/>
          <w:sz w:val="16"/>
          <w:szCs w:val="16"/>
        </w:rPr>
      </w:pPr>
      <w:r>
        <w:rPr>
          <w:color w:val="000000"/>
          <w:sz w:val="16"/>
          <w:szCs w:val="16"/>
        </w:rPr>
        <w:t>3</w:t>
      </w:r>
      <w:r w:rsidRPr="00202F20">
        <w:rPr>
          <w:color w:val="000000"/>
          <w:sz w:val="16"/>
          <w:szCs w:val="16"/>
        </w:rPr>
        <w:t>. </w:t>
      </w:r>
      <w:r w:rsidRPr="00202F20">
        <w:rPr>
          <w:rStyle w:val="element-citation"/>
          <w:color w:val="000000"/>
          <w:sz w:val="16"/>
          <w:szCs w:val="16"/>
        </w:rPr>
        <w:t>Gray J. D. The chronic ear. The treatment of cholesteatoma in children. </w:t>
      </w:r>
      <w:r w:rsidRPr="00202F20">
        <w:rPr>
          <w:rStyle w:val="Emphasis"/>
          <w:color w:val="000000"/>
          <w:sz w:val="16"/>
          <w:szCs w:val="16"/>
        </w:rPr>
        <w:t>Proceedings of the Royal Society of Medicine</w:t>
      </w:r>
      <w:r w:rsidRPr="00202F20">
        <w:rPr>
          <w:rStyle w:val="ref-journal"/>
          <w:color w:val="000000"/>
          <w:sz w:val="16"/>
          <w:szCs w:val="16"/>
        </w:rPr>
        <w:t>. </w:t>
      </w:r>
      <w:r w:rsidRPr="00202F20">
        <w:rPr>
          <w:rStyle w:val="element-citation"/>
          <w:color w:val="000000"/>
          <w:sz w:val="16"/>
          <w:szCs w:val="16"/>
        </w:rPr>
        <w:t>1964;</w:t>
      </w:r>
      <w:r w:rsidRPr="00202F20">
        <w:rPr>
          <w:rStyle w:val="ref-vol"/>
          <w:color w:val="000000"/>
          <w:sz w:val="16"/>
          <w:szCs w:val="16"/>
        </w:rPr>
        <w:t>57</w:t>
      </w:r>
      <w:r w:rsidRPr="00202F20">
        <w:rPr>
          <w:rStyle w:val="element-citation"/>
          <w:color w:val="000000"/>
          <w:sz w:val="16"/>
          <w:szCs w:val="16"/>
        </w:rPr>
        <w:t>:769–771. </w:t>
      </w:r>
      <w:r w:rsidRPr="00202F20">
        <w:rPr>
          <w:rStyle w:val="nowrap"/>
          <w:color w:val="000000"/>
          <w:sz w:val="16"/>
          <w:szCs w:val="16"/>
        </w:rPr>
        <w:t>[</w:t>
      </w:r>
      <w:hyperlink r:id="rId11" w:history="1">
        <w:r w:rsidRPr="00202F20">
          <w:rPr>
            <w:rStyle w:val="Hyperlink"/>
            <w:color w:val="642A8F"/>
            <w:sz w:val="16"/>
            <w:szCs w:val="16"/>
          </w:rPr>
          <w:t>PMC free article</w:t>
        </w:r>
      </w:hyperlink>
      <w:r w:rsidRPr="00202F20">
        <w:rPr>
          <w:rStyle w:val="nowrap"/>
          <w:color w:val="000000"/>
          <w:sz w:val="16"/>
          <w:szCs w:val="16"/>
        </w:rPr>
        <w:t>]</w:t>
      </w:r>
      <w:r w:rsidRPr="00202F20">
        <w:rPr>
          <w:rStyle w:val="element-citation"/>
          <w:color w:val="000000"/>
          <w:sz w:val="16"/>
          <w:szCs w:val="16"/>
        </w:rPr>
        <w:t> [</w:t>
      </w:r>
      <w:hyperlink r:id="rId12" w:tgtFrame="pmc_ext" w:history="1">
        <w:r w:rsidRPr="00202F20">
          <w:rPr>
            <w:rStyle w:val="Hyperlink"/>
            <w:color w:val="642A8F"/>
            <w:sz w:val="16"/>
            <w:szCs w:val="16"/>
          </w:rPr>
          <w:t>PubMed</w:t>
        </w:r>
      </w:hyperlink>
      <w:r w:rsidRPr="00202F20">
        <w:rPr>
          <w:rStyle w:val="element-citation"/>
          <w:color w:val="000000"/>
          <w:sz w:val="16"/>
          <w:szCs w:val="16"/>
        </w:rPr>
        <w:t>] </w:t>
      </w:r>
      <w:r w:rsidRPr="00202F20">
        <w:rPr>
          <w:rStyle w:val="nowrap"/>
          <w:color w:val="000000"/>
          <w:sz w:val="16"/>
          <w:szCs w:val="16"/>
        </w:rPr>
        <w:t>[</w:t>
      </w:r>
      <w:hyperlink r:id="rId13" w:tgtFrame="pmc_ext" w:history="1">
        <w:r w:rsidRPr="00202F20">
          <w:rPr>
            <w:rStyle w:val="Hyperlink"/>
            <w:color w:val="642A8F"/>
            <w:sz w:val="16"/>
            <w:szCs w:val="16"/>
          </w:rPr>
          <w:t>Google Scholar</w:t>
        </w:r>
      </w:hyperlink>
      <w:r w:rsidRPr="00202F20">
        <w:rPr>
          <w:rStyle w:val="nowrap"/>
          <w:color w:val="000000"/>
          <w:sz w:val="16"/>
          <w:szCs w:val="16"/>
        </w:rPr>
        <w:t>]</w:t>
      </w:r>
    </w:p>
    <w:p w:rsidR="00202F20" w:rsidRPr="00202F20" w:rsidRDefault="00202F20" w:rsidP="00202F20">
      <w:pPr>
        <w:shd w:val="clear" w:color="auto" w:fill="FFFFFF"/>
        <w:rPr>
          <w:color w:val="000000"/>
          <w:sz w:val="16"/>
          <w:szCs w:val="16"/>
        </w:rPr>
      </w:pPr>
      <w:r>
        <w:rPr>
          <w:color w:val="000000"/>
          <w:sz w:val="16"/>
          <w:szCs w:val="16"/>
        </w:rPr>
        <w:t>4</w:t>
      </w:r>
      <w:r w:rsidRPr="00202F20">
        <w:rPr>
          <w:color w:val="000000"/>
          <w:sz w:val="16"/>
          <w:szCs w:val="16"/>
        </w:rPr>
        <w:t>. </w:t>
      </w:r>
      <w:r w:rsidRPr="00202F20">
        <w:rPr>
          <w:rStyle w:val="element-citation"/>
          <w:color w:val="000000"/>
          <w:sz w:val="16"/>
          <w:szCs w:val="16"/>
        </w:rPr>
        <w:t>Sie K. C. Y. Cholesteatoma in children. </w:t>
      </w:r>
      <w:r w:rsidRPr="00202F20">
        <w:rPr>
          <w:rStyle w:val="Emphasis"/>
          <w:color w:val="000000"/>
          <w:sz w:val="16"/>
          <w:szCs w:val="16"/>
        </w:rPr>
        <w:t>Pediatric Clinics of North America</w:t>
      </w:r>
      <w:r w:rsidRPr="00202F20">
        <w:rPr>
          <w:rStyle w:val="ref-journal"/>
          <w:color w:val="000000"/>
          <w:sz w:val="16"/>
          <w:szCs w:val="16"/>
        </w:rPr>
        <w:t>. </w:t>
      </w:r>
      <w:r w:rsidRPr="00202F20">
        <w:rPr>
          <w:rStyle w:val="element-citation"/>
          <w:color w:val="000000"/>
          <w:sz w:val="16"/>
          <w:szCs w:val="16"/>
        </w:rPr>
        <w:t>1996;</w:t>
      </w:r>
      <w:r w:rsidRPr="00202F20">
        <w:rPr>
          <w:rStyle w:val="ref-vol"/>
          <w:color w:val="000000"/>
          <w:sz w:val="16"/>
          <w:szCs w:val="16"/>
        </w:rPr>
        <w:t>43</w:t>
      </w:r>
      <w:r w:rsidRPr="00202F20">
        <w:rPr>
          <w:rStyle w:val="element-citation"/>
          <w:color w:val="000000"/>
          <w:sz w:val="16"/>
          <w:szCs w:val="16"/>
        </w:rPr>
        <w:t>(6):1245–1252. do</w:t>
      </w:r>
      <w:r>
        <w:rPr>
          <w:rStyle w:val="element-citation"/>
          <w:color w:val="000000"/>
          <w:sz w:val="16"/>
          <w:szCs w:val="16"/>
        </w:rPr>
        <w:t>i: 10.1016/s0031-3955(05)70517-</w:t>
      </w:r>
      <w:r w:rsidRPr="00202F20">
        <w:rPr>
          <w:rStyle w:val="element-citation"/>
          <w:color w:val="000000"/>
          <w:sz w:val="16"/>
          <w:szCs w:val="16"/>
        </w:rPr>
        <w:t>. [</w:t>
      </w:r>
      <w:hyperlink r:id="rId14" w:tgtFrame="pmc_ext" w:history="1">
        <w:r w:rsidRPr="00202F20">
          <w:rPr>
            <w:rStyle w:val="Hyperlink"/>
            <w:color w:val="642A8F"/>
            <w:sz w:val="16"/>
            <w:szCs w:val="16"/>
          </w:rPr>
          <w:t>PubMed</w:t>
        </w:r>
      </w:hyperlink>
      <w:r w:rsidRPr="00202F20">
        <w:rPr>
          <w:rStyle w:val="element-citation"/>
          <w:color w:val="000000"/>
          <w:sz w:val="16"/>
          <w:szCs w:val="16"/>
        </w:rPr>
        <w:t>] [</w:t>
      </w:r>
      <w:hyperlink r:id="rId15" w:tgtFrame="pmc_ext" w:history="1">
        <w:r w:rsidRPr="00202F20">
          <w:rPr>
            <w:rStyle w:val="Hyperlink"/>
            <w:color w:val="642A8F"/>
            <w:sz w:val="16"/>
            <w:szCs w:val="16"/>
          </w:rPr>
          <w:t>CrossRef</w:t>
        </w:r>
      </w:hyperlink>
      <w:r w:rsidRPr="00202F20">
        <w:rPr>
          <w:rStyle w:val="element-citation"/>
          <w:color w:val="000000"/>
          <w:sz w:val="16"/>
          <w:szCs w:val="16"/>
        </w:rPr>
        <w:t>] </w:t>
      </w:r>
      <w:r w:rsidRPr="00202F20">
        <w:rPr>
          <w:rStyle w:val="nowrap"/>
          <w:color w:val="000000"/>
          <w:sz w:val="16"/>
          <w:szCs w:val="16"/>
        </w:rPr>
        <w:t>[</w:t>
      </w:r>
      <w:hyperlink r:id="rId16" w:tgtFrame="pmc_ext" w:history="1">
        <w:r w:rsidRPr="00202F20">
          <w:rPr>
            <w:rStyle w:val="Hyperlink"/>
            <w:color w:val="642A8F"/>
            <w:sz w:val="16"/>
            <w:szCs w:val="16"/>
          </w:rPr>
          <w:t>Google Scholar</w:t>
        </w:r>
      </w:hyperlink>
      <w:r w:rsidRPr="00202F20">
        <w:rPr>
          <w:rStyle w:val="nowrap"/>
          <w:color w:val="000000"/>
          <w:sz w:val="16"/>
          <w:szCs w:val="16"/>
        </w:rPr>
        <w:t>]</w:t>
      </w:r>
    </w:p>
    <w:p w:rsidR="00202F20" w:rsidRPr="00202F20" w:rsidRDefault="00202F20" w:rsidP="00202F20">
      <w:pPr>
        <w:shd w:val="clear" w:color="auto" w:fill="FFFFFF"/>
        <w:rPr>
          <w:color w:val="000000"/>
          <w:sz w:val="16"/>
          <w:szCs w:val="16"/>
        </w:rPr>
      </w:pPr>
      <w:r>
        <w:rPr>
          <w:color w:val="000000"/>
          <w:sz w:val="16"/>
          <w:szCs w:val="16"/>
        </w:rPr>
        <w:t>5</w:t>
      </w:r>
      <w:r w:rsidRPr="00202F20">
        <w:rPr>
          <w:color w:val="000000"/>
          <w:sz w:val="16"/>
          <w:szCs w:val="16"/>
        </w:rPr>
        <w:t>. </w:t>
      </w:r>
      <w:r w:rsidRPr="00202F20">
        <w:rPr>
          <w:rStyle w:val="element-citation"/>
          <w:color w:val="000000"/>
          <w:sz w:val="16"/>
          <w:szCs w:val="16"/>
        </w:rPr>
        <w:t>Prescott C. A. J. Cholesteatoma in children—the experience at The Red Cross War Memorial Children's Hospital in South Africa 1988–1996. </w:t>
      </w:r>
      <w:r w:rsidRPr="00202F20">
        <w:rPr>
          <w:rStyle w:val="Emphasis"/>
          <w:color w:val="000000"/>
          <w:sz w:val="16"/>
          <w:szCs w:val="16"/>
        </w:rPr>
        <w:t>International Journal of Pediatric Otorhinolaryngology</w:t>
      </w:r>
      <w:r w:rsidRPr="00202F20">
        <w:rPr>
          <w:rStyle w:val="ref-journal"/>
          <w:color w:val="000000"/>
          <w:sz w:val="16"/>
          <w:szCs w:val="16"/>
        </w:rPr>
        <w:t>. </w:t>
      </w:r>
      <w:r w:rsidRPr="00202F20">
        <w:rPr>
          <w:rStyle w:val="element-citation"/>
          <w:color w:val="000000"/>
          <w:sz w:val="16"/>
          <w:szCs w:val="16"/>
        </w:rPr>
        <w:t>1999;</w:t>
      </w:r>
      <w:r w:rsidRPr="00202F20">
        <w:rPr>
          <w:rStyle w:val="ref-vol"/>
          <w:color w:val="000000"/>
          <w:sz w:val="16"/>
          <w:szCs w:val="16"/>
        </w:rPr>
        <w:t>49</w:t>
      </w:r>
      <w:r w:rsidRPr="00202F20">
        <w:rPr>
          <w:rStyle w:val="element-citation"/>
          <w:color w:val="000000"/>
          <w:sz w:val="16"/>
          <w:szCs w:val="16"/>
        </w:rPr>
        <w:t>(1):15–19. doi: 10.1016/s0165-5876(99)00029-4. [</w:t>
      </w:r>
      <w:hyperlink r:id="rId17" w:tgtFrame="pmc_ext" w:history="1">
        <w:r w:rsidRPr="00202F20">
          <w:rPr>
            <w:rStyle w:val="Hyperlink"/>
            <w:color w:val="642A8F"/>
            <w:sz w:val="16"/>
            <w:szCs w:val="16"/>
          </w:rPr>
          <w:t>PubMed</w:t>
        </w:r>
      </w:hyperlink>
      <w:r w:rsidRPr="00202F20">
        <w:rPr>
          <w:rStyle w:val="element-citation"/>
          <w:color w:val="000000"/>
          <w:sz w:val="16"/>
          <w:szCs w:val="16"/>
        </w:rPr>
        <w:t>] [</w:t>
      </w:r>
      <w:hyperlink r:id="rId18" w:tgtFrame="pmc_ext" w:history="1">
        <w:r w:rsidRPr="00202F20">
          <w:rPr>
            <w:rStyle w:val="Hyperlink"/>
            <w:color w:val="642A8F"/>
            <w:sz w:val="16"/>
            <w:szCs w:val="16"/>
          </w:rPr>
          <w:t>CrossRef</w:t>
        </w:r>
      </w:hyperlink>
      <w:r w:rsidRPr="00202F20">
        <w:rPr>
          <w:rStyle w:val="element-citation"/>
          <w:color w:val="000000"/>
          <w:sz w:val="16"/>
          <w:szCs w:val="16"/>
        </w:rPr>
        <w:t>] </w:t>
      </w:r>
      <w:r w:rsidRPr="00202F20">
        <w:rPr>
          <w:rStyle w:val="nowrap"/>
          <w:color w:val="000000"/>
          <w:sz w:val="16"/>
          <w:szCs w:val="16"/>
        </w:rPr>
        <w:t>[</w:t>
      </w:r>
      <w:hyperlink r:id="rId19" w:tgtFrame="pmc_ext" w:history="1">
        <w:r w:rsidRPr="00202F20">
          <w:rPr>
            <w:rStyle w:val="Hyperlink"/>
            <w:color w:val="642A8F"/>
            <w:sz w:val="16"/>
            <w:szCs w:val="16"/>
          </w:rPr>
          <w:t>Google Scholar</w:t>
        </w:r>
      </w:hyperlink>
      <w:r w:rsidRPr="00202F20">
        <w:rPr>
          <w:rStyle w:val="nowrap"/>
          <w:color w:val="000000"/>
          <w:sz w:val="16"/>
          <w:szCs w:val="16"/>
        </w:rPr>
        <w:t>]</w:t>
      </w:r>
    </w:p>
    <w:p w:rsidR="00202F20" w:rsidRPr="00202F20" w:rsidRDefault="00202F20" w:rsidP="00202F20">
      <w:pPr>
        <w:tabs>
          <w:tab w:val="left" w:pos="384"/>
        </w:tabs>
        <w:ind w:right="117"/>
        <w:rPr>
          <w:rFonts w:ascii="Georgia" w:hAnsi="Georgia"/>
          <w:color w:val="333333"/>
          <w:spacing w:val="1"/>
          <w:sz w:val="20"/>
          <w:szCs w:val="20"/>
          <w:shd w:val="clear" w:color="auto" w:fill="FCFCFC"/>
        </w:rPr>
        <w:sectPr w:rsidR="00202F20" w:rsidRPr="00202F20">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sidRPr="00D62425">
        <w:rPr>
          <w:rFonts w:ascii="Calibri"/>
          <w:b/>
          <w:sz w:val="20"/>
        </w:rPr>
        <w:lastRenderedPageBreak/>
        <w:t>Photograph</w:t>
      </w:r>
    </w:p>
    <w:p w:rsidR="00AE3E37" w:rsidRDefault="005A601C">
      <w:pPr>
        <w:pStyle w:val="BodyText"/>
        <w:spacing w:line="40" w:lineRule="exact"/>
        <w:ind w:left="2202"/>
        <w:rPr>
          <w:rFonts w:ascii="Calibri"/>
          <w:sz w:val="4"/>
        </w:rPr>
      </w:pPr>
      <w:r>
        <w:rPr>
          <w:rFonts w:ascii="Calibri"/>
          <w:noProof/>
          <w:sz w:val="4"/>
          <w:lang w:val="en-IN" w:eastAsia="en-IN"/>
        </w:rPr>
      </w:r>
      <w:r w:rsidRPr="005A601C">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6166EF">
      <w:pPr>
        <w:spacing w:before="62"/>
        <w:ind w:left="4217" w:right="4235"/>
        <w:jc w:val="center"/>
        <w:rPr>
          <w:rFonts w:ascii="Arial"/>
          <w:sz w:val="14"/>
        </w:rPr>
      </w:pPr>
      <w:r>
        <w:rPr>
          <w:rFonts w:ascii="Arial"/>
          <w:sz w:val="14"/>
        </w:rPr>
        <w:t xml:space="preserve">IEmail-suman.panchappa@nhs.net </w:t>
      </w:r>
    </w:p>
    <w:p w:rsidR="00AE3E37" w:rsidRDefault="005A601C">
      <w:pPr>
        <w:pStyle w:val="BodyText"/>
        <w:spacing w:before="2"/>
        <w:rPr>
          <w:rFonts w:ascii="Arial"/>
          <w:sz w:val="19"/>
        </w:rPr>
      </w:pPr>
      <w:bookmarkStart w:id="0" w:name="_GoBack"/>
      <w:bookmarkEnd w:id="0"/>
      <w:r w:rsidRPr="005A601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6166EF">
        <w:rPr>
          <w:rFonts w:ascii="Arial"/>
          <w:sz w:val="19"/>
        </w:rPr>
        <w:t>I am interested in learning new skills,techniques in surgery.I am keenly involved in teaching.</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58D9" w:rsidRDefault="001B58D9">
      <w:r>
        <w:separator/>
      </w:r>
    </w:p>
  </w:endnote>
  <w:endnote w:type="continuationSeparator" w:id="1">
    <w:p w:rsidR="001B58D9" w:rsidRDefault="001B58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A601C">
    <w:pPr>
      <w:pStyle w:val="BodyText"/>
      <w:spacing w:line="14" w:lineRule="auto"/>
      <w:rPr>
        <w:sz w:val="20"/>
      </w:rPr>
    </w:pPr>
    <w:r w:rsidRPr="005A601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A601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A601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58D9" w:rsidRDefault="001B58D9">
      <w:r>
        <w:separator/>
      </w:r>
    </w:p>
  </w:footnote>
  <w:footnote w:type="continuationSeparator" w:id="1">
    <w:p w:rsidR="001B58D9" w:rsidRDefault="001B58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A601C">
    <w:pPr>
      <w:pStyle w:val="BodyText"/>
      <w:spacing w:line="14" w:lineRule="auto"/>
      <w:rPr>
        <w:sz w:val="20"/>
      </w:rPr>
    </w:pPr>
    <w:r w:rsidRPr="005A601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A601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B58D9"/>
    <w:rsid w:val="001E763C"/>
    <w:rsid w:val="00202F20"/>
    <w:rsid w:val="00292ED9"/>
    <w:rsid w:val="00314AFB"/>
    <w:rsid w:val="003B76D9"/>
    <w:rsid w:val="004002CC"/>
    <w:rsid w:val="00404E5B"/>
    <w:rsid w:val="00414F7B"/>
    <w:rsid w:val="004355DC"/>
    <w:rsid w:val="00462D18"/>
    <w:rsid w:val="004749B4"/>
    <w:rsid w:val="00494130"/>
    <w:rsid w:val="004F3523"/>
    <w:rsid w:val="005973B9"/>
    <w:rsid w:val="005A601C"/>
    <w:rsid w:val="005B3A56"/>
    <w:rsid w:val="006060CE"/>
    <w:rsid w:val="006166EF"/>
    <w:rsid w:val="0063497F"/>
    <w:rsid w:val="0078738A"/>
    <w:rsid w:val="007B5EAB"/>
    <w:rsid w:val="00873DF0"/>
    <w:rsid w:val="008756E6"/>
    <w:rsid w:val="008769CC"/>
    <w:rsid w:val="008B2B30"/>
    <w:rsid w:val="009A20C6"/>
    <w:rsid w:val="009B2D44"/>
    <w:rsid w:val="00A07E82"/>
    <w:rsid w:val="00A8252A"/>
    <w:rsid w:val="00A91978"/>
    <w:rsid w:val="00A9710C"/>
    <w:rsid w:val="00AE3E37"/>
    <w:rsid w:val="00B21A57"/>
    <w:rsid w:val="00B547CE"/>
    <w:rsid w:val="00BB643A"/>
    <w:rsid w:val="00C33602"/>
    <w:rsid w:val="00CD6F55"/>
    <w:rsid w:val="00D62425"/>
    <w:rsid w:val="00DE3104"/>
    <w:rsid w:val="00F51BEC"/>
    <w:rsid w:val="00F72EEA"/>
    <w:rsid w:val="00F8136A"/>
    <w:rsid w:val="00F84CAE"/>
    <w:rsid w:val="00FF277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occurrence">
    <w:name w:val="occurrence"/>
    <w:basedOn w:val="DefaultParagraphFont"/>
    <w:rsid w:val="00A8252A"/>
  </w:style>
  <w:style w:type="character" w:customStyle="1" w:styleId="element-citation">
    <w:name w:val="element-citation"/>
    <w:basedOn w:val="DefaultParagraphFont"/>
    <w:rsid w:val="00202F20"/>
  </w:style>
  <w:style w:type="character" w:customStyle="1" w:styleId="ref-journal">
    <w:name w:val="ref-journal"/>
    <w:basedOn w:val="DefaultParagraphFont"/>
    <w:rsid w:val="00202F20"/>
  </w:style>
  <w:style w:type="character" w:styleId="Emphasis">
    <w:name w:val="Emphasis"/>
    <w:basedOn w:val="DefaultParagraphFont"/>
    <w:uiPriority w:val="20"/>
    <w:qFormat/>
    <w:rsid w:val="00202F20"/>
    <w:rPr>
      <w:i/>
      <w:iCs/>
    </w:rPr>
  </w:style>
  <w:style w:type="character" w:customStyle="1" w:styleId="ref-vol">
    <w:name w:val="ref-vol"/>
    <w:basedOn w:val="DefaultParagraphFont"/>
    <w:rsid w:val="00202F20"/>
  </w:style>
  <w:style w:type="character" w:customStyle="1" w:styleId="nowrap">
    <w:name w:val="nowrap"/>
    <w:basedOn w:val="DefaultParagraphFont"/>
    <w:rsid w:val="00202F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45146149">
      <w:bodyDiv w:val="1"/>
      <w:marLeft w:val="0"/>
      <w:marRight w:val="0"/>
      <w:marTop w:val="0"/>
      <w:marBottom w:val="0"/>
      <w:divBdr>
        <w:top w:val="none" w:sz="0" w:space="0" w:color="auto"/>
        <w:left w:val="none" w:sz="0" w:space="0" w:color="auto"/>
        <w:bottom w:val="none" w:sz="0" w:space="0" w:color="auto"/>
        <w:right w:val="none" w:sz="0" w:space="0" w:color="auto"/>
      </w:divBdr>
      <w:divsChild>
        <w:div w:id="1578972728">
          <w:marLeft w:val="0"/>
          <w:marRight w:val="0"/>
          <w:marTop w:val="166"/>
          <w:marBottom w:val="166"/>
          <w:divBdr>
            <w:top w:val="none" w:sz="0" w:space="0" w:color="auto"/>
            <w:left w:val="none" w:sz="0" w:space="0" w:color="auto"/>
            <w:bottom w:val="none" w:sz="0" w:space="0" w:color="auto"/>
            <w:right w:val="none" w:sz="0" w:space="0" w:color="auto"/>
          </w:divBdr>
        </w:div>
        <w:div w:id="467549569">
          <w:marLeft w:val="0"/>
          <w:marRight w:val="0"/>
          <w:marTop w:val="166"/>
          <w:marBottom w:val="166"/>
          <w:divBdr>
            <w:top w:val="none" w:sz="0" w:space="0" w:color="auto"/>
            <w:left w:val="none" w:sz="0" w:space="0" w:color="auto"/>
            <w:bottom w:val="none" w:sz="0" w:space="0" w:color="auto"/>
            <w:right w:val="none" w:sz="0" w:space="0" w:color="auto"/>
          </w:divBdr>
        </w:div>
        <w:div w:id="215897079">
          <w:marLeft w:val="0"/>
          <w:marRight w:val="0"/>
          <w:marTop w:val="166"/>
          <w:marBottom w:val="166"/>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cholar.google.com/scholar_lookup?journal=Proceedings+of+the+Royal+Society+of+Medicine&amp;title=The+chronic+ear.+The+treatment+of+cholesteatoma+in+children&amp;author=J.+D.+Gray&amp;volume=57&amp;publication_year=1964&amp;pages=769-771&amp;pmid=14208009&amp;" TargetMode="External"/><Relationship Id="rId18" Type="http://schemas.openxmlformats.org/officeDocument/2006/relationships/hyperlink" Target="https://dx.doi.org/10.1016%2Fs0165-5876(99)00029-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https://www.ncbi.nlm.nih.gov/pubmed/14208009" TargetMode="External"/><Relationship Id="rId17" Type="http://schemas.openxmlformats.org/officeDocument/2006/relationships/hyperlink" Target="https://www.ncbi.nlm.nih.gov/pubmed/10428401" TargetMode="Externa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s://scholar.google.com/scholar_lookup?journal=Pediatric+Clinics+of+North+America&amp;title=Cholesteatoma+in+children&amp;author=K.+C.+Y.+Sie&amp;volume=43&amp;issue=6&amp;publication_year=1996&amp;pages=1245-1252&amp;pmid=8973511&amp;doi=10.1016/s0031-3955(05)70517-4&amp;" TargetMode="Externa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1898762/" TargetMode="External"/><Relationship Id="rId5" Type="http://schemas.openxmlformats.org/officeDocument/2006/relationships/footnotes" Target="footnotes.xml"/><Relationship Id="rId15" Type="http://schemas.openxmlformats.org/officeDocument/2006/relationships/hyperlink" Target="https://dx.doi.org/10.1016%2Fs0031-3955(05)70517-4" TargetMode="External"/><Relationship Id="rId10" Type="http://schemas.openxmlformats.org/officeDocument/2006/relationships/hyperlink" Target="http://scholar.google.com/scholar_lookup?title=Otitis%20media%20with%20effusion&amp;journal=Pediatrics&amp;volume=113&amp;pages=1412-29&amp;publication_year=2004" TargetMode="External"/><Relationship Id="rId19" Type="http://schemas.openxmlformats.org/officeDocument/2006/relationships/hyperlink" Target="https://scholar.google.com/scholar_lookup?journal=International+Journal+of+Pediatric+Otorhinolaryngology&amp;title=Cholesteatoma+in+children%E2%80%94the+experience+at+The+Red+Cross+War+Memorial+Children%27s+Hospital+in+South+Africa+1988%E2%80%931996&amp;author=C.+A.+J.+Prescott&amp;volume=49&amp;issue=1&amp;publication_year=1999&amp;pages=15-19&amp;pmid=10428401&amp;doi=10.1016/s0165-5876(99)00029-4&amp;"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ncbi.nlm.nih.gov/pubmed/8973511"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Suman Raj</cp:lastModifiedBy>
  <cp:revision>4</cp:revision>
  <dcterms:created xsi:type="dcterms:W3CDTF">2019-11-09T00:13:00Z</dcterms:created>
  <dcterms:modified xsi:type="dcterms:W3CDTF">2019-11-09T00:17:00Z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