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CB440F">
      <w:pPr>
        <w:tabs>
          <w:tab w:val="left" w:pos="90"/>
        </w:tabs>
        <w:jc w:val="both"/>
        <w:rPr>
          <w:sz w:val="22"/>
          <w:szCs w:val="22"/>
          <w:lang w:val="en-GB"/>
        </w:rPr>
      </w:pPr>
      <w:r>
        <w:rPr>
          <w:sz w:val="22"/>
          <w:szCs w:val="22"/>
          <w:lang w:val="en-GB"/>
        </w:rPr>
        <w:t xml:space="preserve">                                                                                                                       </w:t>
      </w:r>
      <w:r w:rsidR="002B6314">
        <w:rPr>
          <w:noProof/>
          <w:sz w:val="22"/>
          <w:szCs w:val="22"/>
          <w:lang w:val="tr-TR" w:eastAsia="tr-TR"/>
        </w:rPr>
        <w:drawing>
          <wp:inline distT="0" distB="0" distL="0" distR="0">
            <wp:extent cx="1245235" cy="1527175"/>
            <wp:effectExtent l="19050" t="0" r="0" b="0"/>
            <wp:docPr id="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1245235" cy="1527175"/>
                    </a:xfrm>
                    <a:prstGeom prst="rect">
                      <a:avLst/>
                    </a:prstGeom>
                    <a:noFill/>
                    <a:ln w="9525">
                      <a:noFill/>
                      <a:miter lim="800000"/>
                      <a:headEnd/>
                      <a:tailEnd/>
                    </a:ln>
                  </pic:spPr>
                </pic:pic>
              </a:graphicData>
            </a:graphic>
          </wp:inline>
        </w:drawing>
      </w:r>
    </w:p>
    <w:p w:rsidR="009821CF" w:rsidRDefault="009821CF" w:rsidP="00CB440F">
      <w:pPr>
        <w:jc w:val="both"/>
        <w:rPr>
          <w:b/>
          <w:caps/>
          <w:lang w:val="en-US"/>
        </w:rPr>
      </w:pPr>
    </w:p>
    <w:p w:rsidR="009821CF" w:rsidRPr="009821CF" w:rsidRDefault="009821CF" w:rsidP="00CB440F">
      <w:pPr>
        <w:jc w:val="center"/>
        <w:rPr>
          <w:b/>
          <w:caps/>
          <w:lang w:val="en-US"/>
        </w:rPr>
      </w:pPr>
      <w:r w:rsidRPr="009821CF">
        <w:rPr>
          <w:b/>
          <w:caps/>
          <w:lang w:val="en-US"/>
        </w:rPr>
        <w:t xml:space="preserve">Effect of Endocrine Disrupter Compounds on </w:t>
      </w:r>
      <w:r>
        <w:rPr>
          <w:b/>
          <w:caps/>
          <w:lang w:val="en-US"/>
        </w:rPr>
        <w:t xml:space="preserve">THE </w:t>
      </w:r>
      <w:r w:rsidRPr="009821CF">
        <w:rPr>
          <w:b/>
          <w:caps/>
          <w:lang w:val="en-US"/>
        </w:rPr>
        <w:t>Rat Endocrine System</w:t>
      </w:r>
    </w:p>
    <w:p w:rsidR="0073783E" w:rsidRPr="0073783E" w:rsidRDefault="0073783E" w:rsidP="00CB440F">
      <w:pPr>
        <w:jc w:val="both"/>
        <w:rPr>
          <w:b/>
          <w:caps/>
        </w:rPr>
      </w:pPr>
    </w:p>
    <w:p w:rsidR="00294731" w:rsidRDefault="009821CF" w:rsidP="00CB440F">
      <w:pPr>
        <w:ind w:firstLine="708"/>
        <w:jc w:val="both"/>
        <w:rPr>
          <w:vertAlign w:val="superscript"/>
        </w:rPr>
      </w:pPr>
      <w:r w:rsidRPr="009821CF">
        <w:t>Gökhan Komesli</w:t>
      </w:r>
      <w:r w:rsidRPr="009821CF">
        <w:rPr>
          <w:vertAlign w:val="superscript"/>
        </w:rPr>
        <w:t>a</w:t>
      </w:r>
      <w:r w:rsidRPr="009821CF">
        <w:t>, Haldun Umudum</w:t>
      </w:r>
      <w:r w:rsidRPr="009821CF">
        <w:rPr>
          <w:u w:val="single"/>
          <w:vertAlign w:val="superscript"/>
        </w:rPr>
        <w:t>b</w:t>
      </w:r>
      <w:r w:rsidR="00903F7F">
        <w:t>, Okan T. Komesli</w:t>
      </w:r>
      <w:r>
        <w:rPr>
          <w:vertAlign w:val="superscript"/>
        </w:rPr>
        <w:t>c</w:t>
      </w:r>
      <w:r w:rsidR="00A23F15">
        <w:t xml:space="preserve">, </w:t>
      </w:r>
      <w:r>
        <w:rPr>
          <w:u w:val="single"/>
        </w:rPr>
        <w:t>Celal F Gokcay</w:t>
      </w:r>
      <w:r w:rsidRPr="00054B45">
        <w:t>*</w:t>
      </w:r>
      <w:r w:rsidRPr="009821CF">
        <w:rPr>
          <w:vertAlign w:val="superscript"/>
        </w:rPr>
        <w:t>d</w:t>
      </w:r>
    </w:p>
    <w:p w:rsidR="000041E6" w:rsidRPr="00903F7F" w:rsidRDefault="000041E6" w:rsidP="00CB440F">
      <w:pPr>
        <w:ind w:firstLine="708"/>
        <w:jc w:val="both"/>
      </w:pPr>
    </w:p>
    <w:p w:rsidR="009821CF" w:rsidRPr="000041E6" w:rsidRDefault="000041E6" w:rsidP="00CB440F">
      <w:pPr>
        <w:jc w:val="both"/>
        <w:rPr>
          <w:i/>
        </w:rPr>
      </w:pPr>
      <w:r>
        <w:rPr>
          <w:i/>
          <w:vertAlign w:val="superscript"/>
        </w:rPr>
        <w:t>a</w:t>
      </w:r>
      <w:r>
        <w:rPr>
          <w:i/>
        </w:rPr>
        <w:t>KatipÇelebi University,Ataturk hospital, Urological clinic, Hatay campus, Izmir.</w:t>
      </w:r>
    </w:p>
    <w:p w:rsidR="009443BA" w:rsidRPr="009443BA" w:rsidRDefault="009443BA" w:rsidP="00CB440F">
      <w:pPr>
        <w:jc w:val="both"/>
        <w:rPr>
          <w:i/>
        </w:rPr>
      </w:pPr>
      <w:r>
        <w:rPr>
          <w:i/>
          <w:vertAlign w:val="superscript"/>
        </w:rPr>
        <w:t>b</w:t>
      </w:r>
      <w:r>
        <w:rPr>
          <w:i/>
        </w:rPr>
        <w:t>Ufuk University, Assoc. Prof. of Pathology, Medical School, Ankara, Turkey</w:t>
      </w:r>
    </w:p>
    <w:p w:rsidR="009821CF" w:rsidRPr="00903F7F" w:rsidRDefault="009821CF" w:rsidP="00CB440F">
      <w:pPr>
        <w:jc w:val="both"/>
        <w:rPr>
          <w:i/>
        </w:rPr>
      </w:pPr>
      <w:r>
        <w:rPr>
          <w:i/>
          <w:vertAlign w:val="superscript"/>
        </w:rPr>
        <w:t>c</w:t>
      </w:r>
      <w:r>
        <w:rPr>
          <w:i/>
        </w:rPr>
        <w:t>Atatürk University, Dept. of Environmental Engineering, Erzurum, Turkey</w:t>
      </w:r>
    </w:p>
    <w:p w:rsidR="009821CF" w:rsidRDefault="009821CF" w:rsidP="00CB440F">
      <w:pPr>
        <w:jc w:val="both"/>
      </w:pPr>
      <w:r>
        <w:rPr>
          <w:i/>
          <w:vertAlign w:val="superscript"/>
        </w:rPr>
        <w:t>d</w:t>
      </w:r>
      <w:r w:rsidR="0073783E">
        <w:rPr>
          <w:i/>
        </w:rPr>
        <w:t>Middle East Technical University, Dept.of Environmental Engineering, Ankara, Turkey</w:t>
      </w:r>
      <w:r w:rsidR="00903F7F">
        <w:rPr>
          <w:i/>
        </w:rPr>
        <w:t xml:space="preserve"> </w:t>
      </w:r>
      <w:r w:rsidR="00903F7F">
        <w:t>(retired.)</w:t>
      </w:r>
      <w:r w:rsidR="00903F7F" w:rsidRPr="00054B45">
        <w:t>,</w:t>
      </w:r>
    </w:p>
    <w:p w:rsidR="009821CF" w:rsidRDefault="009821CF" w:rsidP="00CB440F">
      <w:pPr>
        <w:jc w:val="both"/>
        <w:rPr>
          <w:i/>
        </w:rPr>
      </w:pPr>
    </w:p>
    <w:p w:rsidR="009821CF" w:rsidRPr="00972120" w:rsidRDefault="009821CF" w:rsidP="00CB440F">
      <w:pPr>
        <w:jc w:val="both"/>
        <w:rPr>
          <w:rFonts w:eastAsiaTheme="minorEastAsia"/>
          <w:lang w:val="en-US" w:eastAsia="tr-TR"/>
        </w:rPr>
      </w:pPr>
      <w:r>
        <w:rPr>
          <w:lang w:val="en-US"/>
        </w:rPr>
        <w:tab/>
      </w:r>
      <w:r w:rsidRPr="00972120">
        <w:rPr>
          <w:lang w:val="en-US"/>
        </w:rPr>
        <w:t xml:space="preserve">Endocrine Disrupter Compounds, EDCs are emerging pollutants, commonly detected in sewage and the environment. AWWA tentatively </w:t>
      </w:r>
      <w:r w:rsidRPr="00972120">
        <w:rPr>
          <w:rFonts w:eastAsiaTheme="minorEastAsia"/>
          <w:lang w:val="en-US" w:eastAsia="tr-TR"/>
        </w:rPr>
        <w:t xml:space="preserve">classified EDCs as esterogenic and androgenic compounds </w:t>
      </w:r>
      <w:r w:rsidRPr="00972120">
        <w:rPr>
          <w:lang w:val="en-US"/>
        </w:rPr>
        <w:t xml:space="preserve">those  mimic or block natural estrogen or testosterone respectively; and </w:t>
      </w:r>
      <w:r w:rsidRPr="00972120">
        <w:rPr>
          <w:rFonts w:eastAsiaTheme="minorEastAsia"/>
          <w:lang w:val="en-US" w:eastAsia="tr-TR"/>
        </w:rPr>
        <w:t xml:space="preserve">thyroidal compounds having </w:t>
      </w:r>
      <w:r w:rsidRPr="00972120">
        <w:rPr>
          <w:lang w:val="en-US"/>
        </w:rPr>
        <w:t xml:space="preserve">direct or indirect impact on the thyroid. </w:t>
      </w:r>
      <w:r w:rsidRPr="00972120">
        <w:rPr>
          <w:rFonts w:eastAsiaTheme="minorEastAsia"/>
          <w:lang w:val="en-US" w:eastAsia="tr-TR"/>
        </w:rPr>
        <w:t xml:space="preserve"> Synthetic Compounds such as pharmaceuticals, personal care products, surfactant residues, phthalates  have also  been considered </w:t>
      </w:r>
      <w:r>
        <w:rPr>
          <w:rFonts w:eastAsiaTheme="minorEastAsia"/>
          <w:lang w:val="en-US" w:eastAsia="tr-TR"/>
        </w:rPr>
        <w:t xml:space="preserve">as </w:t>
      </w:r>
      <w:r w:rsidRPr="00972120">
        <w:rPr>
          <w:rFonts w:eastAsiaTheme="minorEastAsia"/>
          <w:lang w:val="en-US" w:eastAsia="tr-TR"/>
        </w:rPr>
        <w:t xml:space="preserve">EDCs since  they have  </w:t>
      </w:r>
      <w:r>
        <w:rPr>
          <w:rFonts w:eastAsiaTheme="minorEastAsia"/>
          <w:lang w:val="en-US" w:eastAsia="tr-TR"/>
        </w:rPr>
        <w:t>endocrin</w:t>
      </w:r>
      <w:r w:rsidRPr="00972120">
        <w:rPr>
          <w:rFonts w:eastAsiaTheme="minorEastAsia"/>
          <w:lang w:val="en-US" w:eastAsia="tr-TR"/>
        </w:rPr>
        <w:t xml:space="preserve">e disrupting potential. </w:t>
      </w:r>
    </w:p>
    <w:p w:rsidR="009821CF" w:rsidRPr="00972120" w:rsidRDefault="009821CF" w:rsidP="00CB440F">
      <w:pPr>
        <w:autoSpaceDE w:val="0"/>
        <w:autoSpaceDN w:val="0"/>
        <w:adjustRightInd w:val="0"/>
        <w:jc w:val="both"/>
        <w:rPr>
          <w:color w:val="000000"/>
          <w:lang w:val="en-US"/>
        </w:rPr>
      </w:pPr>
      <w:bookmarkStart w:id="0" w:name="_Hlk504517612"/>
      <w:r>
        <w:rPr>
          <w:color w:val="000000"/>
          <w:lang w:val="en-US"/>
        </w:rPr>
        <w:tab/>
      </w:r>
      <w:r w:rsidRPr="00972120">
        <w:rPr>
          <w:color w:val="000000"/>
          <w:lang w:val="en-US"/>
        </w:rPr>
        <w:t>The individual and combined effects of  three selected EDCs,  on rat metabolism was studied here.  The EDCs, each representing a particular group, were tested at typical sewage concentrations.</w:t>
      </w:r>
      <w:r>
        <w:rPr>
          <w:color w:val="000000"/>
          <w:lang w:val="en-US"/>
        </w:rPr>
        <w:t xml:space="preserve"> </w:t>
      </w:r>
      <w:r w:rsidRPr="00972120">
        <w:rPr>
          <w:color w:val="000000"/>
          <w:lang w:val="en-US"/>
        </w:rPr>
        <w:t>Carbamezapine (CZP)  is a frequently prescribed anti depressant,  resistant to  biological degradation. Progesterone  (PRG) is a natural hormone. Bis-phenol-A ( BPA) is a member of a common  synthetic polymer.</w:t>
      </w:r>
      <w:bookmarkEnd w:id="0"/>
      <w:r w:rsidRPr="00972120">
        <w:rPr>
          <w:color w:val="000000"/>
          <w:lang w:val="en-US"/>
        </w:rPr>
        <w:t xml:space="preserve"> </w:t>
      </w:r>
    </w:p>
    <w:p w:rsidR="009821CF" w:rsidRPr="00972120" w:rsidRDefault="009821CF" w:rsidP="00CB440F">
      <w:pPr>
        <w:tabs>
          <w:tab w:val="left" w:pos="709"/>
        </w:tabs>
        <w:spacing w:line="276" w:lineRule="auto"/>
        <w:jc w:val="both"/>
        <w:rPr>
          <w:color w:val="000000"/>
          <w:lang w:val="en-US"/>
        </w:rPr>
      </w:pPr>
      <w:r>
        <w:rPr>
          <w:lang w:val="en-US"/>
        </w:rPr>
        <w:tab/>
      </w:r>
      <w:r w:rsidRPr="00972120">
        <w:rPr>
          <w:lang w:val="en-US"/>
        </w:rPr>
        <w:t xml:space="preserve"> Experiments were initiated by taking 6 male and 6 female Spraque Downey rats with approximately  equal weights for each of  nine test groups. A total of 96 rats were employed. The first group was the control, received no EDC spike in drinking waters. The next seven groups were exposed to test compounds singly or in combinations. The last group received a dilute methanol solution to compensate for the methanol used to dissolve EDCs in water. </w:t>
      </w:r>
    </w:p>
    <w:p w:rsidR="009821CF" w:rsidRPr="00972120" w:rsidRDefault="009821CF" w:rsidP="00CB440F">
      <w:pPr>
        <w:jc w:val="both"/>
        <w:rPr>
          <w:lang w:val="en-US"/>
        </w:rPr>
      </w:pPr>
      <w:r>
        <w:rPr>
          <w:lang w:val="en-US"/>
        </w:rPr>
        <w:tab/>
      </w:r>
      <w:r w:rsidRPr="00972120">
        <w:rPr>
          <w:lang w:val="en-US"/>
        </w:rPr>
        <w:t>From the results it is understood that testosterone is the most affected hormone in rats. Other sensitive hormones are T3 and T4 thyroidal hormones. Insulin was affected (negatively) by the solo effect of CBZ. An important conclusion was on the combined effects. For example BPA and CBZ had no affect on T3 and T4 singly, but  collectively  affected T4 negatively. PRG Affected Testosterone, T3 and T4 hormones in a positive manner, whereas this turned negative on testosterone when combined with BPA.</w:t>
      </w:r>
    </w:p>
    <w:p w:rsidR="009821CF" w:rsidRDefault="009821CF" w:rsidP="00CB440F">
      <w:pPr>
        <w:jc w:val="both"/>
        <w:rPr>
          <w:lang w:val="en-US"/>
        </w:rPr>
      </w:pPr>
    </w:p>
    <w:p w:rsidR="009821CF" w:rsidRDefault="009821CF" w:rsidP="00CB440F">
      <w:pPr>
        <w:jc w:val="both"/>
        <w:rPr>
          <w:i/>
        </w:rPr>
      </w:pPr>
    </w:p>
    <w:p w:rsidR="0073783E" w:rsidRPr="009821CF" w:rsidRDefault="0073783E" w:rsidP="00CB440F">
      <w:pPr>
        <w:autoSpaceDE w:val="0"/>
        <w:autoSpaceDN w:val="0"/>
        <w:adjustRightInd w:val="0"/>
        <w:jc w:val="both"/>
        <w:rPr>
          <w:rFonts w:eastAsia="MS PGothic"/>
          <w:color w:val="000000"/>
          <w:szCs w:val="32"/>
        </w:rPr>
      </w:pPr>
      <w:r w:rsidRPr="009821CF">
        <w:rPr>
          <w:rFonts w:eastAsia="AdvGulliv-R"/>
          <w:lang w:val="en-US"/>
        </w:rPr>
        <w:tab/>
      </w:r>
    </w:p>
    <w:p w:rsidR="00AC3BCD" w:rsidRPr="009821CF" w:rsidRDefault="00AC3BCD" w:rsidP="00CB440F">
      <w:pPr>
        <w:jc w:val="both"/>
      </w:pPr>
      <w:r w:rsidRPr="009821CF">
        <w:t>Biography</w:t>
      </w:r>
    </w:p>
    <w:p w:rsidR="00AC3BCD" w:rsidRDefault="00AC3BCD" w:rsidP="00CB440F">
      <w:pPr>
        <w:jc w:val="both"/>
        <w:rPr>
          <w:b/>
        </w:rPr>
      </w:pPr>
    </w:p>
    <w:p w:rsidR="00F77290" w:rsidRDefault="00675647" w:rsidP="00CB440F">
      <w:pPr>
        <w:spacing w:line="360" w:lineRule="auto"/>
        <w:jc w:val="both"/>
      </w:pPr>
      <w:r w:rsidRPr="00675647">
        <w:t xml:space="preserve">Dr. </w:t>
      </w:r>
      <w:r w:rsidR="00F77290">
        <w:t xml:space="preserve">Celal F Gokcay has </w:t>
      </w:r>
      <w:r w:rsidRPr="00675647">
        <w:t xml:space="preserve">been Graduated from </w:t>
      </w:r>
      <w:r w:rsidR="00F77290">
        <w:t xml:space="preserve">University of Istanbul </w:t>
      </w:r>
      <w:r w:rsidRPr="00675647">
        <w:t xml:space="preserve">as </w:t>
      </w:r>
      <w:r w:rsidR="00F77290">
        <w:t xml:space="preserve">a biologist. He did his Ph.D. </w:t>
      </w:r>
      <w:r w:rsidR="00A23F15">
        <w:t xml:space="preserve">in the </w:t>
      </w:r>
      <w:r w:rsidR="00F77290">
        <w:t>University of Wales</w:t>
      </w:r>
      <w:r w:rsidRPr="00675647">
        <w:t xml:space="preserve">, </w:t>
      </w:r>
      <w:r w:rsidR="00F77290">
        <w:t>Dept. of</w:t>
      </w:r>
      <w:r w:rsidR="00F77290" w:rsidRPr="009821CF">
        <w:rPr>
          <w:b/>
        </w:rPr>
        <w:t xml:space="preserve"> </w:t>
      </w:r>
      <w:r w:rsidR="00F77290">
        <w:t>Microbiology</w:t>
      </w:r>
      <w:r w:rsidR="00A23F15">
        <w:t>,</w:t>
      </w:r>
      <w:r w:rsidR="00F77290">
        <w:t xml:space="preserve"> University College Cardiff. He then took up Teaching Assistantship in the Middle East Technical University, Dept. of Environmental </w:t>
      </w:r>
      <w:r w:rsidR="00F77290">
        <w:lastRenderedPageBreak/>
        <w:t>Engineering in 1978. He worked as  professor at the same department from 1990 until his  retirement in 2014.</w:t>
      </w:r>
      <w:r w:rsidR="00A23F15">
        <w:t xml:space="preserve"> He specialized in treatment of xenobiotics and bio-process kinetics. </w:t>
      </w:r>
    </w:p>
    <w:p w:rsidR="00F77290" w:rsidRDefault="00F77290" w:rsidP="00CB440F">
      <w:pPr>
        <w:spacing w:line="360" w:lineRule="auto"/>
        <w:jc w:val="both"/>
      </w:pPr>
    </w:p>
    <w:p w:rsidR="00482D47" w:rsidRPr="00054B45" w:rsidRDefault="00482D47" w:rsidP="00CB440F">
      <w:pPr>
        <w:jc w:val="both"/>
      </w:pPr>
      <w:r w:rsidRPr="00136022">
        <w:rPr>
          <w:b/>
        </w:rPr>
        <w:t>Keywords:</w:t>
      </w:r>
      <w:r>
        <w:t xml:space="preserve"> </w:t>
      </w:r>
      <w:r w:rsidR="00A23F15">
        <w:t xml:space="preserve">endocrine disrupting compounds, wastewater treatment, </w:t>
      </w:r>
    </w:p>
    <w:p w:rsidR="00482D47" w:rsidRDefault="00482D47" w:rsidP="00CB440F">
      <w:pPr>
        <w:pStyle w:val="Paragraph"/>
        <w:tabs>
          <w:tab w:val="left" w:pos="2520"/>
        </w:tabs>
        <w:ind w:firstLine="0"/>
        <w:jc w:val="both"/>
        <w:rPr>
          <w:b/>
          <w:bCs/>
          <w:sz w:val="24"/>
        </w:rPr>
      </w:pPr>
    </w:p>
    <w:p w:rsidR="00482D47" w:rsidRPr="00E478C5" w:rsidRDefault="00482D47" w:rsidP="00CB440F">
      <w:pPr>
        <w:pStyle w:val="Paragraph"/>
        <w:tabs>
          <w:tab w:val="left" w:pos="2520"/>
        </w:tabs>
        <w:ind w:firstLine="0"/>
        <w:jc w:val="both"/>
        <w:rPr>
          <w:bCs/>
          <w:sz w:val="22"/>
          <w:szCs w:val="22"/>
        </w:rPr>
      </w:pPr>
      <w:r w:rsidRPr="00E478C5">
        <w:rPr>
          <w:b/>
          <w:bCs/>
          <w:sz w:val="22"/>
          <w:szCs w:val="22"/>
        </w:rPr>
        <w:t>Desired presentation</w:t>
      </w:r>
      <w:r w:rsidR="00294731" w:rsidRPr="00E478C5">
        <w:rPr>
          <w:b/>
          <w:bCs/>
          <w:sz w:val="22"/>
          <w:szCs w:val="22"/>
        </w:rPr>
        <w:t xml:space="preserve">  </w:t>
      </w:r>
      <w:r w:rsidRPr="00E478C5">
        <w:rPr>
          <w:b/>
          <w:bCs/>
          <w:sz w:val="22"/>
          <w:szCs w:val="22"/>
        </w:rPr>
        <w:t>:</w:t>
      </w:r>
      <w:r w:rsidRPr="00E478C5">
        <w:rPr>
          <w:b/>
          <w:bCs/>
          <w:sz w:val="22"/>
          <w:szCs w:val="22"/>
        </w:rPr>
        <w:tab/>
      </w:r>
      <w:r w:rsidR="00CB440F">
        <w:rPr>
          <w:b/>
          <w:bCs/>
          <w:sz w:val="22"/>
          <w:szCs w:val="22"/>
        </w:rPr>
        <w:t>_</w:t>
      </w:r>
      <w:r w:rsidRPr="00E478C5">
        <w:rPr>
          <w:bCs/>
          <w:sz w:val="22"/>
          <w:szCs w:val="22"/>
        </w:rPr>
        <w:t xml:space="preserve"> Oral </w:t>
      </w:r>
      <w:r w:rsidRPr="00E478C5">
        <w:rPr>
          <w:bCs/>
          <w:sz w:val="22"/>
          <w:szCs w:val="22"/>
        </w:rPr>
        <w:tab/>
        <w:t xml:space="preserve">/ </w:t>
      </w:r>
      <w:r w:rsidRPr="00E478C5">
        <w:rPr>
          <w:bCs/>
          <w:sz w:val="22"/>
          <w:szCs w:val="22"/>
        </w:rPr>
        <w:tab/>
        <w:t>_ Poster</w:t>
      </w:r>
      <w:r w:rsidRPr="00E478C5">
        <w:rPr>
          <w:bCs/>
          <w:sz w:val="22"/>
          <w:szCs w:val="22"/>
        </w:rPr>
        <w:tab/>
        <w:t xml:space="preserve"> / </w:t>
      </w:r>
      <w:r w:rsidRPr="00E478C5">
        <w:rPr>
          <w:bCs/>
          <w:sz w:val="22"/>
          <w:szCs w:val="22"/>
        </w:rPr>
        <w:tab/>
      </w:r>
      <w:r w:rsidR="00CB440F">
        <w:rPr>
          <w:bCs/>
          <w:sz w:val="22"/>
          <w:szCs w:val="22"/>
        </w:rPr>
        <w:t>X</w:t>
      </w:r>
      <w:r w:rsidRPr="00E478C5">
        <w:rPr>
          <w:bCs/>
          <w:sz w:val="22"/>
          <w:szCs w:val="22"/>
        </w:rPr>
        <w:t>_ either</w:t>
      </w:r>
    </w:p>
    <w:p w:rsidR="00482D47" w:rsidRPr="00E478C5" w:rsidRDefault="00482D47" w:rsidP="00CB440F">
      <w:pPr>
        <w:pStyle w:val="Paragraph"/>
        <w:tabs>
          <w:tab w:val="left" w:pos="2520"/>
        </w:tabs>
        <w:ind w:firstLine="0"/>
        <w:jc w:val="both"/>
        <w:rPr>
          <w:bCs/>
          <w:sz w:val="6"/>
          <w:szCs w:val="22"/>
        </w:rPr>
      </w:pPr>
    </w:p>
    <w:p w:rsidR="009371BA" w:rsidRPr="009371BA" w:rsidRDefault="00482D47" w:rsidP="00CB440F">
      <w:pPr>
        <w:pStyle w:val="Paragraph"/>
        <w:tabs>
          <w:tab w:val="left" w:pos="2520"/>
        </w:tabs>
        <w:ind w:firstLine="0"/>
        <w:jc w:val="both"/>
        <w:rPr>
          <w:bCs/>
          <w:sz w:val="22"/>
          <w:szCs w:val="22"/>
        </w:rPr>
      </w:pPr>
      <w:r w:rsidRPr="00E478C5">
        <w:rPr>
          <w:b/>
          <w:bCs/>
          <w:sz w:val="22"/>
          <w:szCs w:val="22"/>
        </w:rPr>
        <w:t>Topic</w:t>
      </w:r>
      <w:r w:rsidR="00294731" w:rsidRPr="00E478C5">
        <w:rPr>
          <w:b/>
          <w:bCs/>
          <w:sz w:val="22"/>
          <w:szCs w:val="22"/>
        </w:rPr>
        <w:t xml:space="preserve">                         </w:t>
      </w:r>
      <w:r w:rsidRPr="00E478C5">
        <w:rPr>
          <w:b/>
          <w:bCs/>
          <w:sz w:val="22"/>
          <w:szCs w:val="22"/>
        </w:rPr>
        <w:t>:</w:t>
      </w:r>
      <w:r w:rsidRPr="00E478C5">
        <w:rPr>
          <w:b/>
          <w:bCs/>
          <w:sz w:val="22"/>
          <w:szCs w:val="22"/>
        </w:rPr>
        <w:tab/>
      </w:r>
      <w:r w:rsidR="009371BA" w:rsidRPr="009371BA">
        <w:rPr>
          <w:bCs/>
          <w:sz w:val="22"/>
          <w:szCs w:val="22"/>
        </w:rPr>
        <w:t>Advancement</w:t>
      </w:r>
      <w:r w:rsidR="009371BA">
        <w:rPr>
          <w:b/>
          <w:bCs/>
          <w:sz w:val="22"/>
          <w:szCs w:val="22"/>
        </w:rPr>
        <w:t xml:space="preserve"> </w:t>
      </w:r>
      <w:r w:rsidR="009371BA">
        <w:rPr>
          <w:bCs/>
          <w:sz w:val="22"/>
          <w:szCs w:val="22"/>
        </w:rPr>
        <w:t>in Treatment and P</w:t>
      </w:r>
      <w:r w:rsidR="009371BA" w:rsidRPr="009371BA">
        <w:rPr>
          <w:bCs/>
          <w:sz w:val="22"/>
          <w:szCs w:val="22"/>
        </w:rPr>
        <w:t>revention of Endocrinology Disorders.</w:t>
      </w:r>
    </w:p>
    <w:p w:rsidR="00A23F15" w:rsidRDefault="00482D47" w:rsidP="00CB440F">
      <w:pPr>
        <w:pStyle w:val="Paragraph"/>
        <w:tabs>
          <w:tab w:val="left" w:pos="2520"/>
        </w:tabs>
        <w:ind w:firstLine="0"/>
        <w:jc w:val="both"/>
        <w:rPr>
          <w:sz w:val="22"/>
          <w:szCs w:val="22"/>
        </w:rPr>
      </w:pPr>
      <w:r w:rsidRPr="00E478C5">
        <w:rPr>
          <w:b/>
          <w:bCs/>
          <w:sz w:val="22"/>
          <w:szCs w:val="22"/>
        </w:rPr>
        <w:t>Corresponding Author</w:t>
      </w:r>
      <w:r w:rsidR="00294731" w:rsidRPr="00E478C5">
        <w:rPr>
          <w:b/>
          <w:bCs/>
          <w:sz w:val="22"/>
          <w:szCs w:val="22"/>
        </w:rPr>
        <w:t xml:space="preserve"> Details</w:t>
      </w:r>
      <w:r w:rsidRPr="00E478C5">
        <w:rPr>
          <w:b/>
          <w:bCs/>
          <w:sz w:val="22"/>
          <w:szCs w:val="22"/>
        </w:rPr>
        <w:t>:</w:t>
      </w:r>
      <w:r w:rsidRPr="00E478C5">
        <w:rPr>
          <w:sz w:val="22"/>
          <w:szCs w:val="22"/>
        </w:rPr>
        <w:tab/>
      </w:r>
      <w:r w:rsidR="00A23F15">
        <w:rPr>
          <w:sz w:val="22"/>
          <w:szCs w:val="22"/>
        </w:rPr>
        <w:t>Celal F Gokcay</w:t>
      </w:r>
    </w:p>
    <w:p w:rsidR="00482D47" w:rsidRPr="00E478C5" w:rsidRDefault="00482D47" w:rsidP="00CB440F">
      <w:pPr>
        <w:pStyle w:val="Paragraph"/>
        <w:tabs>
          <w:tab w:val="left" w:pos="2520"/>
        </w:tabs>
        <w:ind w:firstLine="0"/>
        <w:jc w:val="both"/>
        <w:rPr>
          <w:sz w:val="22"/>
          <w:szCs w:val="22"/>
        </w:rPr>
      </w:pPr>
      <w:r w:rsidRPr="00E478C5">
        <w:rPr>
          <w:sz w:val="22"/>
          <w:szCs w:val="22"/>
        </w:rPr>
        <w:tab/>
      </w:r>
      <w:r w:rsidR="00294731" w:rsidRPr="00E478C5">
        <w:rPr>
          <w:sz w:val="22"/>
          <w:szCs w:val="22"/>
        </w:rPr>
        <w:t xml:space="preserve">              </w:t>
      </w:r>
      <w:r w:rsidR="00A23F15">
        <w:rPr>
          <w:sz w:val="22"/>
          <w:szCs w:val="22"/>
        </w:rPr>
        <w:t xml:space="preserve">  cfgokcay@metu.edu.tr</w:t>
      </w:r>
    </w:p>
    <w:p w:rsidR="00482D47" w:rsidRPr="00E478C5" w:rsidRDefault="00482D47" w:rsidP="00CB440F">
      <w:pPr>
        <w:pStyle w:val="Paragraph"/>
        <w:tabs>
          <w:tab w:val="left" w:pos="2520"/>
        </w:tabs>
        <w:ind w:firstLine="0"/>
        <w:jc w:val="both"/>
        <w:rPr>
          <w:sz w:val="22"/>
          <w:szCs w:val="22"/>
          <w:lang w:val="en-GB"/>
        </w:rPr>
      </w:pPr>
      <w:r w:rsidRPr="00E478C5">
        <w:rPr>
          <w:sz w:val="22"/>
          <w:szCs w:val="22"/>
        </w:rPr>
        <w:tab/>
      </w:r>
      <w:r w:rsidR="00294731" w:rsidRPr="00E478C5">
        <w:rPr>
          <w:sz w:val="22"/>
          <w:szCs w:val="22"/>
        </w:rPr>
        <w:t xml:space="preserve">                </w:t>
      </w:r>
      <w:r w:rsidR="00A23F15">
        <w:rPr>
          <w:sz w:val="22"/>
          <w:szCs w:val="22"/>
        </w:rPr>
        <w:t>Middle East Technical Univeersity (retiired)</w:t>
      </w:r>
    </w:p>
    <w:p w:rsidR="00A23F15" w:rsidRPr="00E478C5" w:rsidRDefault="00482D47" w:rsidP="00CB440F">
      <w:pPr>
        <w:pStyle w:val="Paragraph"/>
        <w:tabs>
          <w:tab w:val="left" w:pos="2520"/>
        </w:tabs>
        <w:ind w:firstLine="0"/>
        <w:jc w:val="both"/>
        <w:rPr>
          <w:sz w:val="22"/>
          <w:szCs w:val="22"/>
        </w:rPr>
      </w:pPr>
      <w:r w:rsidRPr="00E478C5">
        <w:rPr>
          <w:sz w:val="22"/>
          <w:szCs w:val="22"/>
        </w:rPr>
        <w:tab/>
      </w:r>
      <w:r w:rsidR="00294731" w:rsidRPr="00E478C5">
        <w:rPr>
          <w:sz w:val="22"/>
          <w:szCs w:val="22"/>
        </w:rPr>
        <w:t xml:space="preserve">                </w:t>
      </w:r>
      <w:r w:rsidR="00A23F15">
        <w:rPr>
          <w:sz w:val="22"/>
          <w:szCs w:val="22"/>
        </w:rPr>
        <w:t>Ankara, Turkey</w:t>
      </w:r>
    </w:p>
    <w:p w:rsidR="00482D47" w:rsidRPr="00E478C5" w:rsidRDefault="00482D47" w:rsidP="00CB440F">
      <w:pPr>
        <w:pStyle w:val="Paragraph"/>
        <w:tabs>
          <w:tab w:val="left" w:pos="2520"/>
        </w:tabs>
        <w:ind w:firstLine="0"/>
        <w:jc w:val="both"/>
        <w:rPr>
          <w:sz w:val="22"/>
          <w:szCs w:val="22"/>
        </w:rPr>
      </w:pPr>
      <w:r w:rsidRPr="00E478C5">
        <w:rPr>
          <w:sz w:val="22"/>
          <w:szCs w:val="22"/>
        </w:rPr>
        <w:tab/>
      </w:r>
      <w:r w:rsidR="00294731" w:rsidRPr="00E478C5">
        <w:rPr>
          <w:sz w:val="22"/>
          <w:szCs w:val="22"/>
        </w:rPr>
        <w:t xml:space="preserve">                </w:t>
      </w:r>
      <w:r w:rsidR="00A23F15">
        <w:rPr>
          <w:sz w:val="22"/>
          <w:szCs w:val="22"/>
        </w:rPr>
        <w:t>+90 5323307444</w:t>
      </w:r>
    </w:p>
    <w:p w:rsidR="00AC3BCD" w:rsidRPr="00A41107" w:rsidRDefault="00AC3BCD" w:rsidP="00CB440F">
      <w:pPr>
        <w:jc w:val="both"/>
        <w:rPr>
          <w:rFonts w:eastAsia="MS PGothic"/>
          <w:b/>
          <w:color w:val="000000"/>
          <w:szCs w:val="32"/>
        </w:rPr>
      </w:pPr>
    </w:p>
    <w:sectPr w:rsidR="00AC3BCD" w:rsidRPr="00A41107" w:rsidSect="00294731">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270"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6B7E" w:rsidRDefault="00BC6B7E" w:rsidP="00671A59">
      <w:r>
        <w:separator/>
      </w:r>
    </w:p>
  </w:endnote>
  <w:endnote w:type="continuationSeparator" w:id="1">
    <w:p w:rsidR="00BC6B7E" w:rsidRDefault="00BC6B7E"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dvGulliv-R">
    <w:altName w:val="MS Mincho"/>
    <w:panose1 w:val="00000000000000000000"/>
    <w:charset w:val="80"/>
    <w:family w:val="auto"/>
    <w:notTrueType/>
    <w:pitch w:val="default"/>
    <w:sig w:usb0="00000000" w:usb1="08070000" w:usb2="00000010" w:usb3="00000000" w:csb0="00020000" w:csb1="00000000"/>
  </w:font>
  <w:font w:name="MS PGothic">
    <w:panose1 w:val="020B0600070205080204"/>
    <w:charset w:val="80"/>
    <w:family w:val="swiss"/>
    <w:pitch w:val="variable"/>
    <w:sig w:usb0="E00002FF" w:usb1="6AC7FDFB" w:usb2="00000012" w:usb3="00000000" w:csb0="0002009F" w:csb1="00000000"/>
  </w:font>
  <w:font w:name="Calibri">
    <w:panose1 w:val="020F0502020204030204"/>
    <w:charset w:val="A2"/>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A84" w:rsidRDefault="00EA1A84">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A84" w:rsidRDefault="00EA1A84">
    <w:pPr>
      <w:pStyle w:val="Altbilgi"/>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A84" w:rsidRDefault="00EA1A84">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6B7E" w:rsidRDefault="00BC6B7E" w:rsidP="00671A59">
      <w:r>
        <w:separator/>
      </w:r>
    </w:p>
  </w:footnote>
  <w:footnote w:type="continuationSeparator" w:id="1">
    <w:p w:rsidR="00BC6B7E" w:rsidRDefault="00BC6B7E"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A84" w:rsidRDefault="00EA1A84">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8C7" w:rsidRDefault="001858C7" w:rsidP="00294731">
    <w:pPr>
      <w:pStyle w:val="stbilgi"/>
      <w:spacing w:line="276" w:lineRule="auto"/>
      <w:jc w:val="center"/>
      <w:rPr>
        <w:lang w:val="en-US"/>
      </w:rPr>
    </w:pPr>
    <w:r w:rsidRPr="001858C7">
      <w:rPr>
        <w:lang w:val="en-US"/>
      </w:rPr>
      <w:t xml:space="preserve">11th International Conference on Endocrinology </w:t>
    </w:r>
  </w:p>
  <w:p w:rsidR="00294731" w:rsidRPr="00ED7EEB" w:rsidRDefault="00EA1A84" w:rsidP="001858C7">
    <w:pPr>
      <w:pStyle w:val="stbilgi"/>
      <w:spacing w:line="276" w:lineRule="auto"/>
      <w:jc w:val="center"/>
      <w:rPr>
        <w:lang w:val="en-US"/>
      </w:rPr>
    </w:pPr>
    <w:r>
      <w:rPr>
        <w:lang w:val="en-US"/>
      </w:rPr>
      <w:t xml:space="preserve">August </w:t>
    </w:r>
    <w:r w:rsidR="001858C7">
      <w:rPr>
        <w:lang w:val="en-US"/>
      </w:rPr>
      <w:t>9</w:t>
    </w:r>
    <w:r w:rsidR="006324B3">
      <w:rPr>
        <w:lang w:val="en-US"/>
      </w:rPr>
      <w:t>-</w:t>
    </w:r>
    <w:r w:rsidR="001858C7">
      <w:rPr>
        <w:lang w:val="en-US"/>
      </w:rPr>
      <w:t>10, 2018</w:t>
    </w:r>
    <w:r w:rsidR="006324B3">
      <w:rPr>
        <w:lang w:val="en-US"/>
      </w:rPr>
      <w:t xml:space="preserve"> </w:t>
    </w:r>
    <w:r w:rsidR="001858C7">
      <w:rPr>
        <w:lang w:val="en-US"/>
      </w:rPr>
      <w:t>Madrid</w:t>
    </w:r>
    <w:r w:rsidR="001858C7" w:rsidRPr="001858C7">
      <w:rPr>
        <w:lang w:val="en-US"/>
      </w:rPr>
      <w:t>, Spain</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A84" w:rsidRDefault="00EA1A84">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650F4434"/>
    <w:multiLevelType w:val="hybridMultilevel"/>
    <w:tmpl w:val="91025D78"/>
    <w:lvl w:ilvl="0" w:tplc="04090001">
      <w:start w:val="1"/>
      <w:numFmt w:val="bullet"/>
      <w:lvlText w:val=""/>
      <w:lvlJc w:val="left"/>
      <w:pPr>
        <w:tabs>
          <w:tab w:val="num" w:pos="1004"/>
        </w:tabs>
        <w:ind w:left="1004" w:hanging="360"/>
      </w:pPr>
      <w:rPr>
        <w:rFonts w:ascii="Symbol" w:hAnsi="Symbol" w:cs="Symbol" w:hint="default"/>
      </w:rPr>
    </w:lvl>
    <w:lvl w:ilvl="1" w:tplc="04090003">
      <w:start w:val="1"/>
      <w:numFmt w:val="bullet"/>
      <w:lvlText w:val="o"/>
      <w:lvlJc w:val="left"/>
      <w:pPr>
        <w:tabs>
          <w:tab w:val="num" w:pos="1724"/>
        </w:tabs>
        <w:ind w:left="1724" w:hanging="360"/>
      </w:pPr>
      <w:rPr>
        <w:rFonts w:ascii="Courier New" w:hAnsi="Courier New" w:cs="Courier New" w:hint="default"/>
      </w:rPr>
    </w:lvl>
    <w:lvl w:ilvl="2" w:tplc="04090005">
      <w:start w:val="1"/>
      <w:numFmt w:val="bullet"/>
      <w:lvlText w:val=""/>
      <w:lvlJc w:val="left"/>
      <w:pPr>
        <w:tabs>
          <w:tab w:val="num" w:pos="2444"/>
        </w:tabs>
        <w:ind w:left="2444" w:hanging="360"/>
      </w:pPr>
      <w:rPr>
        <w:rFonts w:ascii="Wingdings" w:hAnsi="Wingdings" w:cs="Wingdings" w:hint="default"/>
      </w:rPr>
    </w:lvl>
    <w:lvl w:ilvl="3" w:tplc="04090001">
      <w:start w:val="1"/>
      <w:numFmt w:val="bullet"/>
      <w:lvlText w:val=""/>
      <w:lvlJc w:val="left"/>
      <w:pPr>
        <w:tabs>
          <w:tab w:val="num" w:pos="3164"/>
        </w:tabs>
        <w:ind w:left="3164" w:hanging="360"/>
      </w:pPr>
      <w:rPr>
        <w:rFonts w:ascii="Symbol" w:hAnsi="Symbol" w:cs="Symbol" w:hint="default"/>
      </w:rPr>
    </w:lvl>
    <w:lvl w:ilvl="4" w:tplc="04090003">
      <w:start w:val="1"/>
      <w:numFmt w:val="bullet"/>
      <w:lvlText w:val="o"/>
      <w:lvlJc w:val="left"/>
      <w:pPr>
        <w:tabs>
          <w:tab w:val="num" w:pos="3884"/>
        </w:tabs>
        <w:ind w:left="3884" w:hanging="360"/>
      </w:pPr>
      <w:rPr>
        <w:rFonts w:ascii="Courier New" w:hAnsi="Courier New" w:cs="Courier New" w:hint="default"/>
      </w:rPr>
    </w:lvl>
    <w:lvl w:ilvl="5" w:tplc="04090005">
      <w:start w:val="1"/>
      <w:numFmt w:val="bullet"/>
      <w:lvlText w:val=""/>
      <w:lvlJc w:val="left"/>
      <w:pPr>
        <w:tabs>
          <w:tab w:val="num" w:pos="4604"/>
        </w:tabs>
        <w:ind w:left="4604" w:hanging="360"/>
      </w:pPr>
      <w:rPr>
        <w:rFonts w:ascii="Wingdings" w:hAnsi="Wingdings" w:cs="Wingdings" w:hint="default"/>
      </w:rPr>
    </w:lvl>
    <w:lvl w:ilvl="6" w:tplc="04090001">
      <w:start w:val="1"/>
      <w:numFmt w:val="bullet"/>
      <w:lvlText w:val=""/>
      <w:lvlJc w:val="left"/>
      <w:pPr>
        <w:tabs>
          <w:tab w:val="num" w:pos="5324"/>
        </w:tabs>
        <w:ind w:left="5324" w:hanging="360"/>
      </w:pPr>
      <w:rPr>
        <w:rFonts w:ascii="Symbol" w:hAnsi="Symbol" w:cs="Symbol" w:hint="default"/>
      </w:rPr>
    </w:lvl>
    <w:lvl w:ilvl="7" w:tplc="04090003">
      <w:start w:val="1"/>
      <w:numFmt w:val="bullet"/>
      <w:lvlText w:val="o"/>
      <w:lvlJc w:val="left"/>
      <w:pPr>
        <w:tabs>
          <w:tab w:val="num" w:pos="6044"/>
        </w:tabs>
        <w:ind w:left="6044" w:hanging="360"/>
      </w:pPr>
      <w:rPr>
        <w:rFonts w:ascii="Courier New" w:hAnsi="Courier New" w:cs="Courier New" w:hint="default"/>
      </w:rPr>
    </w:lvl>
    <w:lvl w:ilvl="8" w:tplc="04090005">
      <w:start w:val="1"/>
      <w:numFmt w:val="bullet"/>
      <w:lvlText w:val=""/>
      <w:lvlJc w:val="left"/>
      <w:pPr>
        <w:tabs>
          <w:tab w:val="num" w:pos="6764"/>
        </w:tabs>
        <w:ind w:left="6764" w:hanging="360"/>
      </w:pPr>
      <w:rPr>
        <w:rFonts w:ascii="Wingdings" w:hAnsi="Wingdings" w:cs="Wingdings" w:hint="default"/>
      </w:rPr>
    </w:lvl>
  </w:abstractNum>
  <w:abstractNum w:abstractNumId="4">
    <w:nsid w:val="657757EA"/>
    <w:multiLevelType w:val="hybridMultilevel"/>
    <w:tmpl w:val="000E671C"/>
    <w:lvl w:ilvl="0" w:tplc="255C8EB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18434"/>
  </w:hdrShapeDefaults>
  <w:footnotePr>
    <w:footnote w:id="0"/>
    <w:footnote w:id="1"/>
  </w:footnotePr>
  <w:endnotePr>
    <w:endnote w:id="0"/>
    <w:endnote w:id="1"/>
  </w:endnotePr>
  <w:compat/>
  <w:rsids>
    <w:rsidRoot w:val="00BF5676"/>
    <w:rsid w:val="000041E6"/>
    <w:rsid w:val="00023D76"/>
    <w:rsid w:val="00072E30"/>
    <w:rsid w:val="00085B88"/>
    <w:rsid w:val="00090564"/>
    <w:rsid w:val="00097CA5"/>
    <w:rsid w:val="000A00D9"/>
    <w:rsid w:val="000A4C72"/>
    <w:rsid w:val="000D226D"/>
    <w:rsid w:val="000E7A02"/>
    <w:rsid w:val="00101A04"/>
    <w:rsid w:val="00106952"/>
    <w:rsid w:val="00120A14"/>
    <w:rsid w:val="001216E5"/>
    <w:rsid w:val="0013563F"/>
    <w:rsid w:val="00145878"/>
    <w:rsid w:val="001858C7"/>
    <w:rsid w:val="001A411C"/>
    <w:rsid w:val="001B1336"/>
    <w:rsid w:val="001B6DE6"/>
    <w:rsid w:val="001C51E2"/>
    <w:rsid w:val="001E43FD"/>
    <w:rsid w:val="001F414A"/>
    <w:rsid w:val="00205354"/>
    <w:rsid w:val="002659F1"/>
    <w:rsid w:val="00270EC9"/>
    <w:rsid w:val="00292DC0"/>
    <w:rsid w:val="00294731"/>
    <w:rsid w:val="002A024E"/>
    <w:rsid w:val="002A1055"/>
    <w:rsid w:val="002B18D5"/>
    <w:rsid w:val="002B6314"/>
    <w:rsid w:val="002C0D06"/>
    <w:rsid w:val="002C0F2B"/>
    <w:rsid w:val="0035167E"/>
    <w:rsid w:val="003753DD"/>
    <w:rsid w:val="003A4429"/>
    <w:rsid w:val="003B4E1B"/>
    <w:rsid w:val="003F1BA1"/>
    <w:rsid w:val="004775E3"/>
    <w:rsid w:val="00482D47"/>
    <w:rsid w:val="0049217F"/>
    <w:rsid w:val="004A262E"/>
    <w:rsid w:val="004A2CA1"/>
    <w:rsid w:val="004B3B30"/>
    <w:rsid w:val="004B6A3F"/>
    <w:rsid w:val="004E735A"/>
    <w:rsid w:val="00505DA1"/>
    <w:rsid w:val="005408D9"/>
    <w:rsid w:val="005433C9"/>
    <w:rsid w:val="00555DAD"/>
    <w:rsid w:val="005B168A"/>
    <w:rsid w:val="005C2EA1"/>
    <w:rsid w:val="005C3848"/>
    <w:rsid w:val="005C503B"/>
    <w:rsid w:val="005D43ED"/>
    <w:rsid w:val="00605142"/>
    <w:rsid w:val="00612C13"/>
    <w:rsid w:val="006228DD"/>
    <w:rsid w:val="006324B3"/>
    <w:rsid w:val="00636117"/>
    <w:rsid w:val="00641332"/>
    <w:rsid w:val="006511AA"/>
    <w:rsid w:val="00671A59"/>
    <w:rsid w:val="00675647"/>
    <w:rsid w:val="00691F82"/>
    <w:rsid w:val="006B463C"/>
    <w:rsid w:val="006C51B8"/>
    <w:rsid w:val="006D3239"/>
    <w:rsid w:val="006F0C5C"/>
    <w:rsid w:val="00723BBB"/>
    <w:rsid w:val="007258AA"/>
    <w:rsid w:val="0073783E"/>
    <w:rsid w:val="00743CCA"/>
    <w:rsid w:val="00744CE6"/>
    <w:rsid w:val="00746319"/>
    <w:rsid w:val="0076775A"/>
    <w:rsid w:val="00774D85"/>
    <w:rsid w:val="007875D1"/>
    <w:rsid w:val="00790C29"/>
    <w:rsid w:val="007C121A"/>
    <w:rsid w:val="007F0333"/>
    <w:rsid w:val="007F49A8"/>
    <w:rsid w:val="00800D58"/>
    <w:rsid w:val="0081507F"/>
    <w:rsid w:val="00834D93"/>
    <w:rsid w:val="00862283"/>
    <w:rsid w:val="00872C88"/>
    <w:rsid w:val="008A3E9A"/>
    <w:rsid w:val="008A690F"/>
    <w:rsid w:val="008E5BD8"/>
    <w:rsid w:val="00901E5B"/>
    <w:rsid w:val="00903F7F"/>
    <w:rsid w:val="009371BA"/>
    <w:rsid w:val="00944111"/>
    <w:rsid w:val="009443BA"/>
    <w:rsid w:val="0095034D"/>
    <w:rsid w:val="00970E67"/>
    <w:rsid w:val="009821B4"/>
    <w:rsid w:val="009821CF"/>
    <w:rsid w:val="009A6AD9"/>
    <w:rsid w:val="009B0CCF"/>
    <w:rsid w:val="009B7F4F"/>
    <w:rsid w:val="009C2BF6"/>
    <w:rsid w:val="009D3EA4"/>
    <w:rsid w:val="009E6632"/>
    <w:rsid w:val="009E6C61"/>
    <w:rsid w:val="00A02F0F"/>
    <w:rsid w:val="00A23A4D"/>
    <w:rsid w:val="00A23F15"/>
    <w:rsid w:val="00A31D17"/>
    <w:rsid w:val="00A41107"/>
    <w:rsid w:val="00A50066"/>
    <w:rsid w:val="00A603E8"/>
    <w:rsid w:val="00A654B7"/>
    <w:rsid w:val="00A668A1"/>
    <w:rsid w:val="00A76E81"/>
    <w:rsid w:val="00A83688"/>
    <w:rsid w:val="00A83863"/>
    <w:rsid w:val="00AA7329"/>
    <w:rsid w:val="00AC3BCD"/>
    <w:rsid w:val="00AD6315"/>
    <w:rsid w:val="00AF4356"/>
    <w:rsid w:val="00B2169C"/>
    <w:rsid w:val="00B26097"/>
    <w:rsid w:val="00B27625"/>
    <w:rsid w:val="00B675D9"/>
    <w:rsid w:val="00BC6B7E"/>
    <w:rsid w:val="00BF1A0E"/>
    <w:rsid w:val="00BF5676"/>
    <w:rsid w:val="00C474B1"/>
    <w:rsid w:val="00C77526"/>
    <w:rsid w:val="00CB440F"/>
    <w:rsid w:val="00CE08A2"/>
    <w:rsid w:val="00CE2CBD"/>
    <w:rsid w:val="00D367E3"/>
    <w:rsid w:val="00D66204"/>
    <w:rsid w:val="00DA2249"/>
    <w:rsid w:val="00DA435D"/>
    <w:rsid w:val="00DA581F"/>
    <w:rsid w:val="00DC29A1"/>
    <w:rsid w:val="00DC7405"/>
    <w:rsid w:val="00DD3006"/>
    <w:rsid w:val="00DE2102"/>
    <w:rsid w:val="00E119D1"/>
    <w:rsid w:val="00E33F28"/>
    <w:rsid w:val="00E478C5"/>
    <w:rsid w:val="00E713DA"/>
    <w:rsid w:val="00E85CF8"/>
    <w:rsid w:val="00EA1A84"/>
    <w:rsid w:val="00EB353E"/>
    <w:rsid w:val="00EB7C87"/>
    <w:rsid w:val="00ED51D7"/>
    <w:rsid w:val="00ED67BA"/>
    <w:rsid w:val="00ED7EEB"/>
    <w:rsid w:val="00EE1DF0"/>
    <w:rsid w:val="00EF681E"/>
    <w:rsid w:val="00F01887"/>
    <w:rsid w:val="00F10B0E"/>
    <w:rsid w:val="00F215A7"/>
    <w:rsid w:val="00F30972"/>
    <w:rsid w:val="00F36B5D"/>
    <w:rsid w:val="00F42DCF"/>
    <w:rsid w:val="00F709F5"/>
    <w:rsid w:val="00F77290"/>
    <w:rsid w:val="00F90AE2"/>
    <w:rsid w:val="00FA5CBE"/>
    <w:rsid w:val="00FB641C"/>
    <w:rsid w:val="00FC022F"/>
    <w:rsid w:val="00FC1073"/>
    <w:rsid w:val="00FF16A7"/>
    <w:rsid w:val="00FF1F3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22F"/>
    <w:rPr>
      <w:sz w:val="24"/>
      <w:szCs w:val="24"/>
      <w:lang w:val="it-IT" w:eastAsia="it-IT"/>
    </w:rPr>
  </w:style>
  <w:style w:type="paragraph" w:styleId="Balk1">
    <w:name w:val="heading 1"/>
    <w:aliases w:val="title"/>
    <w:basedOn w:val="Normal"/>
    <w:next w:val="Normal"/>
    <w:link w:val="Balk1Char"/>
    <w:uiPriority w:val="9"/>
    <w:qFormat/>
    <w:rsid w:val="00FC1073"/>
    <w:pPr>
      <w:keepNext/>
      <w:jc w:val="center"/>
      <w:outlineLvl w:val="0"/>
    </w:pPr>
    <w:rPr>
      <w:rFonts w:ascii="Cambria" w:hAnsi="Cambria" w:cs="Gautami"/>
      <w:b/>
      <w:bCs/>
      <w:kern w:val="32"/>
      <w:sz w:val="32"/>
      <w:szCs w:val="32"/>
      <w:lang w:bidi="te-IN"/>
    </w:rPr>
  </w:style>
  <w:style w:type="paragraph" w:styleId="Balk3">
    <w:name w:val="heading 3"/>
    <w:aliases w:val="Authors"/>
    <w:basedOn w:val="Normal"/>
    <w:next w:val="Normal"/>
    <w:link w:val="Balk3Char"/>
    <w:uiPriority w:val="9"/>
    <w:qFormat/>
    <w:rsid w:val="00FC1073"/>
    <w:pPr>
      <w:keepNext/>
      <w:spacing w:before="240" w:after="60"/>
      <w:outlineLvl w:val="2"/>
    </w:pPr>
    <w:rPr>
      <w:rFonts w:ascii="Cambria" w:hAnsi="Cambria" w:cs="Gautami"/>
      <w:b/>
      <w:bCs/>
      <w:sz w:val="26"/>
      <w:szCs w:val="26"/>
      <w:lang w:bidi="te-I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aliases w:val="title Char"/>
    <w:link w:val="Balk1"/>
    <w:uiPriority w:val="9"/>
    <w:rsid w:val="00FC022F"/>
    <w:rPr>
      <w:rFonts w:ascii="Cambria" w:eastAsia="Times New Roman" w:hAnsi="Cambria" w:cs="Times New Roman"/>
      <w:b/>
      <w:bCs/>
      <w:kern w:val="32"/>
      <w:sz w:val="32"/>
      <w:szCs w:val="32"/>
    </w:rPr>
  </w:style>
  <w:style w:type="character" w:customStyle="1" w:styleId="Balk3Char">
    <w:name w:val="Başlık 3 Char"/>
    <w:aliases w:val="Authors Char"/>
    <w:link w:val="Balk3"/>
    <w:uiPriority w:val="9"/>
    <w:semiHidden/>
    <w:rsid w:val="00FC022F"/>
    <w:rPr>
      <w:rFonts w:ascii="Cambria" w:eastAsia="Times New Roman" w:hAnsi="Cambria" w:cs="Times New Roman"/>
      <w:b/>
      <w:bCs/>
      <w:sz w:val="26"/>
      <w:szCs w:val="26"/>
    </w:rPr>
  </w:style>
  <w:style w:type="character" w:styleId="Kpr">
    <w:name w:val="Hyperlink"/>
    <w:uiPriority w:val="99"/>
    <w:rsid w:val="007258AA"/>
    <w:rPr>
      <w:rFonts w:cs="Times New Roman"/>
      <w:color w:val="0000FF"/>
      <w:u w:val="single"/>
    </w:rPr>
  </w:style>
  <w:style w:type="paragraph" w:styleId="GvdeMetni">
    <w:name w:val="Body Text"/>
    <w:basedOn w:val="Normal"/>
    <w:link w:val="GvdeMetniChar"/>
    <w:uiPriority w:val="99"/>
    <w:rsid w:val="007258AA"/>
    <w:pPr>
      <w:suppressAutoHyphens/>
      <w:jc w:val="center"/>
    </w:pPr>
    <w:rPr>
      <w:rFonts w:cs="Gautami"/>
      <w:lang w:bidi="te-IN"/>
    </w:rPr>
  </w:style>
  <w:style w:type="character" w:customStyle="1" w:styleId="GvdeMetniChar">
    <w:name w:val="Gövde Metni Char"/>
    <w:link w:val="GvdeMetni"/>
    <w:uiPriority w:val="99"/>
    <w:semiHidden/>
    <w:rsid w:val="00FC022F"/>
    <w:rPr>
      <w:sz w:val="24"/>
      <w:szCs w:val="24"/>
    </w:rPr>
  </w:style>
  <w:style w:type="character" w:styleId="AklamaBavurusu">
    <w:name w:val="annotation reference"/>
    <w:uiPriority w:val="99"/>
    <w:semiHidden/>
    <w:rsid w:val="00205354"/>
    <w:rPr>
      <w:rFonts w:cs="Times New Roman"/>
      <w:sz w:val="16"/>
      <w:szCs w:val="16"/>
    </w:rPr>
  </w:style>
  <w:style w:type="paragraph" w:styleId="AklamaMetni">
    <w:name w:val="annotation text"/>
    <w:basedOn w:val="Normal"/>
    <w:link w:val="AklamaMetniChar"/>
    <w:uiPriority w:val="99"/>
    <w:semiHidden/>
    <w:rsid w:val="00205354"/>
    <w:rPr>
      <w:rFonts w:cs="Gautami"/>
      <w:sz w:val="20"/>
      <w:szCs w:val="20"/>
      <w:lang w:bidi="te-IN"/>
    </w:rPr>
  </w:style>
  <w:style w:type="character" w:customStyle="1" w:styleId="AklamaMetniChar">
    <w:name w:val="Açıklama Metni Char"/>
    <w:link w:val="AklamaMetni"/>
    <w:uiPriority w:val="99"/>
    <w:semiHidden/>
    <w:rsid w:val="00FC022F"/>
    <w:rPr>
      <w:sz w:val="20"/>
      <w:szCs w:val="20"/>
    </w:rPr>
  </w:style>
  <w:style w:type="paragraph" w:styleId="AklamaKonusu">
    <w:name w:val="annotation subject"/>
    <w:basedOn w:val="AklamaMetni"/>
    <w:next w:val="AklamaMetni"/>
    <w:link w:val="AklamaKonusuChar"/>
    <w:uiPriority w:val="99"/>
    <w:semiHidden/>
    <w:rsid w:val="00205354"/>
    <w:rPr>
      <w:b/>
      <w:bCs/>
    </w:rPr>
  </w:style>
  <w:style w:type="character" w:customStyle="1" w:styleId="AklamaKonusuChar">
    <w:name w:val="Açıklama Konusu Char"/>
    <w:link w:val="AklamaKonusu"/>
    <w:uiPriority w:val="99"/>
    <w:semiHidden/>
    <w:rsid w:val="00FC022F"/>
    <w:rPr>
      <w:b/>
      <w:bCs/>
      <w:sz w:val="20"/>
      <w:szCs w:val="20"/>
    </w:rPr>
  </w:style>
  <w:style w:type="paragraph" w:styleId="BalonMetni">
    <w:name w:val="Balloon Text"/>
    <w:basedOn w:val="Normal"/>
    <w:link w:val="BalonMetniChar"/>
    <w:uiPriority w:val="99"/>
    <w:semiHidden/>
    <w:rsid w:val="00205354"/>
    <w:rPr>
      <w:rFonts w:ascii="Tahoma" w:hAnsi="Tahoma" w:cs="Gautami"/>
      <w:sz w:val="16"/>
      <w:szCs w:val="16"/>
      <w:lang w:bidi="te-IN"/>
    </w:rPr>
  </w:style>
  <w:style w:type="character" w:customStyle="1" w:styleId="BalonMetniChar">
    <w:name w:val="Balon Metni Char"/>
    <w:link w:val="BalonMetni"/>
    <w:uiPriority w:val="99"/>
    <w:semiHidden/>
    <w:rsid w:val="00FC022F"/>
    <w:rPr>
      <w:rFonts w:ascii="Tahoma" w:hAnsi="Tahoma" w:cs="Tahoma"/>
      <w:sz w:val="16"/>
      <w:szCs w:val="16"/>
    </w:rPr>
  </w:style>
  <w:style w:type="paragraph" w:styleId="GvdeMetniGirintisi">
    <w:name w:val="Body Text Indent"/>
    <w:basedOn w:val="Normal"/>
    <w:link w:val="GvdeMetniGirintisiChar"/>
    <w:uiPriority w:val="99"/>
    <w:rsid w:val="00FC1073"/>
    <w:pPr>
      <w:spacing w:after="120"/>
      <w:ind w:left="283"/>
    </w:pPr>
    <w:rPr>
      <w:rFonts w:cs="Gautami"/>
      <w:lang w:bidi="te-IN"/>
    </w:rPr>
  </w:style>
  <w:style w:type="character" w:customStyle="1" w:styleId="GvdeMetniGirintisiChar">
    <w:name w:val="Gövde Metni Girintisi Char"/>
    <w:link w:val="GvdeMetniGirintisi"/>
    <w:uiPriority w:val="99"/>
    <w:semiHidden/>
    <w:rsid w:val="00FC022F"/>
    <w:rPr>
      <w:sz w:val="24"/>
      <w:szCs w:val="24"/>
    </w:rPr>
  </w:style>
  <w:style w:type="paragraph" w:styleId="stbilgi">
    <w:name w:val="header"/>
    <w:basedOn w:val="Normal"/>
    <w:link w:val="stbilgiChar"/>
    <w:uiPriority w:val="99"/>
    <w:unhideWhenUsed/>
    <w:rsid w:val="00671A59"/>
    <w:pPr>
      <w:tabs>
        <w:tab w:val="center" w:pos="4819"/>
        <w:tab w:val="right" w:pos="9638"/>
      </w:tabs>
    </w:pPr>
    <w:rPr>
      <w:rFonts w:cs="Gautami"/>
      <w:lang w:bidi="te-IN"/>
    </w:rPr>
  </w:style>
  <w:style w:type="character" w:customStyle="1" w:styleId="stbilgiChar">
    <w:name w:val="Üstbilgi Char"/>
    <w:link w:val="stbilgi"/>
    <w:uiPriority w:val="99"/>
    <w:rsid w:val="00671A59"/>
    <w:rPr>
      <w:sz w:val="24"/>
      <w:szCs w:val="24"/>
    </w:rPr>
  </w:style>
  <w:style w:type="paragraph" w:styleId="Altbilgi">
    <w:name w:val="footer"/>
    <w:basedOn w:val="Normal"/>
    <w:link w:val="AltbilgiChar"/>
    <w:uiPriority w:val="99"/>
    <w:unhideWhenUsed/>
    <w:rsid w:val="00671A59"/>
    <w:pPr>
      <w:tabs>
        <w:tab w:val="center" w:pos="4819"/>
        <w:tab w:val="right" w:pos="9638"/>
      </w:tabs>
    </w:pPr>
    <w:rPr>
      <w:rFonts w:cs="Gautami"/>
      <w:lang w:bidi="te-IN"/>
    </w:rPr>
  </w:style>
  <w:style w:type="character" w:customStyle="1" w:styleId="AltbilgiChar">
    <w:name w:val="Altbilgi Char"/>
    <w:link w:val="Altbilgi"/>
    <w:uiPriority w:val="99"/>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customStyle="1" w:styleId="Paragraph">
    <w:name w:val="Paragraph"/>
    <w:basedOn w:val="Normal"/>
    <w:rsid w:val="00482D47"/>
    <w:pPr>
      <w:ind w:firstLine="360"/>
    </w:pPr>
    <w:rPr>
      <w:sz w:val="20"/>
      <w:szCs w:val="20"/>
      <w:lang w:val="en-US" w:eastAsia="en-US"/>
    </w:rPr>
  </w:style>
  <w:style w:type="paragraph" w:styleId="GvdeMetni2">
    <w:name w:val="Body Text 2"/>
    <w:basedOn w:val="Normal"/>
    <w:link w:val="GvdeMetni2Char"/>
    <w:uiPriority w:val="99"/>
    <w:semiHidden/>
    <w:unhideWhenUsed/>
    <w:rsid w:val="00482D47"/>
    <w:pPr>
      <w:spacing w:after="120" w:line="480" w:lineRule="auto"/>
    </w:pPr>
  </w:style>
  <w:style w:type="character" w:customStyle="1" w:styleId="GvdeMetni2Char">
    <w:name w:val="Gövde Metni 2 Char"/>
    <w:link w:val="GvdeMetni2"/>
    <w:uiPriority w:val="99"/>
    <w:semiHidden/>
    <w:rsid w:val="00482D47"/>
    <w:rPr>
      <w:sz w:val="24"/>
      <w:szCs w:val="24"/>
      <w:lang w:val="it-IT" w:eastAsia="it-IT"/>
    </w:rPr>
  </w:style>
  <w:style w:type="paragraph" w:styleId="GvdeMetniGirintisi2">
    <w:name w:val="Body Text Indent 2"/>
    <w:basedOn w:val="Normal"/>
    <w:link w:val="GvdeMetniGirintisi2Char"/>
    <w:uiPriority w:val="99"/>
    <w:semiHidden/>
    <w:unhideWhenUsed/>
    <w:rsid w:val="00482D47"/>
    <w:pPr>
      <w:spacing w:after="120" w:line="480" w:lineRule="auto"/>
      <w:ind w:left="360"/>
    </w:pPr>
  </w:style>
  <w:style w:type="character" w:customStyle="1" w:styleId="GvdeMetniGirintisi2Char">
    <w:name w:val="Gövde Metni Girintisi 2 Char"/>
    <w:link w:val="GvdeMetniGirintisi2"/>
    <w:uiPriority w:val="99"/>
    <w:semiHidden/>
    <w:rsid w:val="00482D47"/>
    <w:rPr>
      <w:sz w:val="24"/>
      <w:szCs w:val="24"/>
      <w:lang w:val="it-IT" w:eastAsia="it-IT"/>
    </w:rPr>
  </w:style>
  <w:style w:type="character" w:customStyle="1" w:styleId="apple-converted-space">
    <w:name w:val="apple-converted-space"/>
    <w:rsid w:val="006D3239"/>
  </w:style>
  <w:style w:type="character" w:styleId="Gl">
    <w:name w:val="Strong"/>
    <w:uiPriority w:val="22"/>
    <w:qFormat/>
    <w:rsid w:val="006D3239"/>
    <w:rPr>
      <w:b/>
      <w:bCs/>
    </w:rPr>
  </w:style>
</w:styles>
</file>

<file path=word/webSettings.xml><?xml version="1.0" encoding="utf-8"?>
<w:webSettings xmlns:r="http://schemas.openxmlformats.org/officeDocument/2006/relationships" xmlns:w="http://schemas.openxmlformats.org/wordprocessingml/2006/main">
  <w:divs>
    <w:div w:id="83037412">
      <w:bodyDiv w:val="1"/>
      <w:marLeft w:val="0"/>
      <w:marRight w:val="0"/>
      <w:marTop w:val="0"/>
      <w:marBottom w:val="0"/>
      <w:divBdr>
        <w:top w:val="none" w:sz="0" w:space="0" w:color="auto"/>
        <w:left w:val="none" w:sz="0" w:space="0" w:color="auto"/>
        <w:bottom w:val="none" w:sz="0" w:space="0" w:color="auto"/>
        <w:right w:val="none" w:sz="0" w:space="0" w:color="auto"/>
      </w:divBdr>
      <w:divsChild>
        <w:div w:id="1234009474">
          <w:marLeft w:val="0"/>
          <w:marRight w:val="0"/>
          <w:marTop w:val="0"/>
          <w:marBottom w:val="0"/>
          <w:divBdr>
            <w:top w:val="none" w:sz="0" w:space="0" w:color="auto"/>
            <w:left w:val="none" w:sz="0" w:space="0" w:color="auto"/>
            <w:bottom w:val="none" w:sz="0" w:space="0" w:color="auto"/>
            <w:right w:val="none" w:sz="0" w:space="0" w:color="auto"/>
          </w:divBdr>
        </w:div>
      </w:divsChild>
    </w:div>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267615897">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451090">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E8EA84-D3C4-4399-A21E-A164B93AE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503</Words>
  <Characters>2868</Characters>
  <Application>Microsoft Office Word</Application>
  <DocSecurity>0</DocSecurity>
  <Lines>23</Lines>
  <Paragraphs>6</Paragraphs>
  <ScaleCrop>false</ScaleCrop>
  <HeadingPairs>
    <vt:vector size="6" baseType="variant">
      <vt:variant>
        <vt:lpstr>Konu Başlığı</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lpstr> </vt:lpstr>
    </vt:vector>
  </TitlesOfParts>
  <LinksUpToDate>false</LinksUpToDate>
  <CharactersWithSpaces>3365</CharactersWithSpaces>
  <SharedDoc>false</SharedDoc>
  <HLinks>
    <vt:vector size="6" baseType="variant">
      <vt:variant>
        <vt:i4>3473415</vt:i4>
      </vt:variant>
      <vt:variant>
        <vt:i4>0</vt:i4>
      </vt:variant>
      <vt:variant>
        <vt:i4>0</vt:i4>
      </vt:variant>
      <vt:variant>
        <vt:i4>5</vt:i4>
      </vt:variant>
      <vt:variant>
        <vt:lpwstr>mailto:endocrinology@eurosciconmeetings.com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2018-01-25T08:27:00Z</dcterms:created>
  <dcterms:modified xsi:type="dcterms:W3CDTF">2018-01-25T08:27:00Z</dcterms:modified>
</cp:coreProperties>
</file>