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F36B5D">
      <w:pPr>
        <w:tabs>
          <w:tab w:val="left" w:pos="90"/>
        </w:tabs>
        <w:jc w:val="both"/>
        <w:rPr>
          <w:sz w:val="22"/>
          <w:szCs w:val="22"/>
          <w:lang w:val="en-GB"/>
        </w:rPr>
      </w:pPr>
      <w:r>
        <w:rPr>
          <w:sz w:val="22"/>
          <w:szCs w:val="22"/>
          <w:lang w:val="en-GB"/>
        </w:rPr>
        <w:t xml:space="preserve">                                                                                                                       </w:t>
      </w:r>
      <w:r w:rsidR="002B6314">
        <w:rPr>
          <w:noProof/>
          <w:sz w:val="22"/>
          <w:szCs w:val="22"/>
          <w:lang w:val="tr-TR" w:eastAsia="tr-TR"/>
        </w:rPr>
        <w:drawing>
          <wp:inline distT="0" distB="0" distL="0" distR="0">
            <wp:extent cx="1245235" cy="1527175"/>
            <wp:effectExtent l="1905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245235" cy="1527175"/>
                    </a:xfrm>
                    <a:prstGeom prst="rect">
                      <a:avLst/>
                    </a:prstGeom>
                    <a:noFill/>
                    <a:ln w="9525">
                      <a:noFill/>
                      <a:miter lim="800000"/>
                      <a:headEnd/>
                      <a:tailEnd/>
                    </a:ln>
                  </pic:spPr>
                </pic:pic>
              </a:graphicData>
            </a:graphic>
          </wp:inline>
        </w:drawing>
      </w:r>
    </w:p>
    <w:p w:rsidR="00294731" w:rsidRPr="0073783E" w:rsidRDefault="0073783E" w:rsidP="00294731">
      <w:pPr>
        <w:jc w:val="center"/>
        <w:rPr>
          <w:rFonts w:eastAsia="AdvGulliv-R"/>
          <w:b/>
          <w:caps/>
          <w:lang w:val="en-US"/>
        </w:rPr>
      </w:pPr>
      <w:r w:rsidRPr="0073783E">
        <w:rPr>
          <w:rFonts w:eastAsia="AdvGulliv-R"/>
          <w:b/>
          <w:caps/>
          <w:lang w:val="en-US"/>
        </w:rPr>
        <w:t>Endocrine Disrupter Compounds in Wastewaters and their Treatment</w:t>
      </w:r>
    </w:p>
    <w:p w:rsidR="0073783E" w:rsidRPr="0073783E" w:rsidRDefault="0073783E" w:rsidP="00294731">
      <w:pPr>
        <w:jc w:val="center"/>
        <w:rPr>
          <w:b/>
          <w:caps/>
        </w:rPr>
      </w:pPr>
    </w:p>
    <w:p w:rsidR="00294731" w:rsidRPr="00903F7F" w:rsidRDefault="0073783E" w:rsidP="00294731">
      <w:pPr>
        <w:ind w:firstLine="708"/>
        <w:jc w:val="center"/>
      </w:pPr>
      <w:r>
        <w:rPr>
          <w:u w:val="single"/>
        </w:rPr>
        <w:t>Celal F Gokcay</w:t>
      </w:r>
      <w:r w:rsidR="00294731" w:rsidRPr="00641332">
        <w:rPr>
          <w:u w:val="single"/>
          <w:vertAlign w:val="superscript"/>
        </w:rPr>
        <w:t>a</w:t>
      </w:r>
      <w:r w:rsidR="00294731" w:rsidRPr="00054B45">
        <w:t>*</w:t>
      </w:r>
      <w:r w:rsidR="00903F7F">
        <w:t>, Okan T. Komesli</w:t>
      </w:r>
      <w:r w:rsidR="00294731" w:rsidRPr="00054B45">
        <w:rPr>
          <w:vertAlign w:val="superscript"/>
        </w:rPr>
        <w:t>b</w:t>
      </w:r>
      <w:r w:rsidR="00A23F15">
        <w:t>, Melis Muz</w:t>
      </w:r>
      <w:r w:rsidR="00903F7F" w:rsidRPr="00903F7F">
        <w:rPr>
          <w:vertAlign w:val="superscript"/>
        </w:rPr>
        <w:t>c</w:t>
      </w:r>
    </w:p>
    <w:p w:rsidR="00294731" w:rsidRPr="00054B45" w:rsidRDefault="00294731" w:rsidP="00294731">
      <w:pPr>
        <w:jc w:val="center"/>
      </w:pPr>
    </w:p>
    <w:p w:rsidR="0073783E" w:rsidRDefault="00294731" w:rsidP="00294731">
      <w:pPr>
        <w:jc w:val="center"/>
        <w:rPr>
          <w:i/>
        </w:rPr>
      </w:pPr>
      <w:r w:rsidRPr="00054B45">
        <w:rPr>
          <w:i/>
          <w:vertAlign w:val="superscript"/>
        </w:rPr>
        <w:t>a</w:t>
      </w:r>
      <w:r w:rsidR="0073783E">
        <w:rPr>
          <w:i/>
        </w:rPr>
        <w:t>Middle East Technical University, Dept.of Environmental Engineering, Ankara, Turkey</w:t>
      </w:r>
      <w:r w:rsidR="00903F7F">
        <w:rPr>
          <w:i/>
        </w:rPr>
        <w:t xml:space="preserve"> </w:t>
      </w:r>
      <w:r w:rsidR="00903F7F">
        <w:t>(retired.)</w:t>
      </w:r>
      <w:r w:rsidR="00903F7F" w:rsidRPr="00054B45">
        <w:t>,</w:t>
      </w:r>
    </w:p>
    <w:p w:rsidR="00AC3BCD" w:rsidRPr="00903F7F" w:rsidRDefault="00294731" w:rsidP="00AC3BCD">
      <w:pPr>
        <w:jc w:val="center"/>
        <w:rPr>
          <w:i/>
        </w:rPr>
      </w:pPr>
      <w:r w:rsidRPr="00054B45">
        <w:rPr>
          <w:i/>
          <w:vertAlign w:val="superscript"/>
        </w:rPr>
        <w:t>b</w:t>
      </w:r>
      <w:r w:rsidR="00903F7F">
        <w:rPr>
          <w:i/>
        </w:rPr>
        <w:t>Atatürk University, D</w:t>
      </w:r>
      <w:r w:rsidR="00A23F15">
        <w:rPr>
          <w:i/>
        </w:rPr>
        <w:t>ept. of Environmental Engineeri</w:t>
      </w:r>
      <w:r w:rsidR="00903F7F">
        <w:rPr>
          <w:i/>
        </w:rPr>
        <w:t>ng, Erzurum, Turkey</w:t>
      </w:r>
    </w:p>
    <w:p w:rsidR="00903F7F" w:rsidRDefault="00A23F15" w:rsidP="00AC3BCD">
      <w:pPr>
        <w:jc w:val="center"/>
        <w:rPr>
          <w:rFonts w:ascii="SourceSansPro-Regular" w:hAnsi="SourceSansPro-Regular" w:cs="SourceSansPro-Regular"/>
          <w:color w:val="222222"/>
          <w:sz w:val="20"/>
          <w:szCs w:val="20"/>
          <w:lang w:val="tr-TR" w:eastAsia="tr-TR"/>
        </w:rPr>
      </w:pPr>
      <w:r w:rsidRPr="00A23F15">
        <w:rPr>
          <w:rFonts w:eastAsia="Batang"/>
          <w:color w:val="0000FF"/>
          <w:vertAlign w:val="superscript"/>
        </w:rPr>
        <w:t>c</w:t>
      </w:r>
      <w:r>
        <w:rPr>
          <w:rFonts w:eastAsia="Batang"/>
          <w:color w:val="0000FF"/>
        </w:rPr>
        <w:t xml:space="preserve"> </w:t>
      </w:r>
      <w:r w:rsidRPr="00A23F15">
        <w:rPr>
          <w:i/>
        </w:rPr>
        <w:t>Helmholtz-Zentrum für Umweltforschung, Germany</w:t>
      </w:r>
    </w:p>
    <w:p w:rsidR="00A23F15" w:rsidRPr="0073783E" w:rsidRDefault="00A23F15" w:rsidP="00AC3BCD">
      <w:pPr>
        <w:jc w:val="center"/>
        <w:rPr>
          <w:rFonts w:eastAsia="Batang"/>
          <w:color w:val="0000FF"/>
        </w:rPr>
      </w:pPr>
    </w:p>
    <w:p w:rsidR="0073783E" w:rsidRPr="0073783E" w:rsidRDefault="0073783E" w:rsidP="0073783E">
      <w:pPr>
        <w:autoSpaceDE w:val="0"/>
        <w:autoSpaceDN w:val="0"/>
        <w:adjustRightInd w:val="0"/>
        <w:jc w:val="both"/>
        <w:rPr>
          <w:rFonts w:eastAsia="AdvGulliv-R"/>
          <w:lang w:val="en-US"/>
        </w:rPr>
      </w:pPr>
      <w:r>
        <w:rPr>
          <w:rFonts w:eastAsia="AdvGulliv-R"/>
          <w:lang w:val="en-US"/>
        </w:rPr>
        <w:tab/>
      </w:r>
      <w:r w:rsidRPr="0073783E">
        <w:rPr>
          <w:rFonts w:eastAsia="AdvGulliv-R"/>
          <w:lang w:val="en-US"/>
        </w:rPr>
        <w:t xml:space="preserve">Endocrine disrupting compounds, EDCs, are recently recognized pollutants which interfere with the hormonal systems of animals. At the extreme end are known to cause gender shifts and reduced fecundity in fish. Their possible interference with the water cycle thereby affecting humans has been implicated. </w:t>
      </w:r>
    </w:p>
    <w:p w:rsidR="0073783E" w:rsidRPr="0073783E" w:rsidRDefault="0073783E" w:rsidP="0073783E">
      <w:pPr>
        <w:autoSpaceDE w:val="0"/>
        <w:autoSpaceDN w:val="0"/>
        <w:adjustRightInd w:val="0"/>
        <w:jc w:val="both"/>
        <w:rPr>
          <w:rFonts w:eastAsia="AdvGulliv-R"/>
          <w:lang w:val="en-US"/>
        </w:rPr>
      </w:pPr>
      <w:r>
        <w:rPr>
          <w:rFonts w:eastAsia="AdvGulliv-R"/>
          <w:lang w:val="en-US"/>
        </w:rPr>
        <w:tab/>
      </w:r>
      <w:r w:rsidRPr="0073783E">
        <w:rPr>
          <w:rFonts w:eastAsia="AdvGulliv-R"/>
          <w:lang w:val="en-US"/>
        </w:rPr>
        <w:t>Current view in combating EDCs in water cycle is the multi barrier approach. Where EDCs are tackled in effluents, the environment, and in potable water supply. Therefore, information on their biodegradability and elimination is vital for sustainable strategies of the future.</w:t>
      </w:r>
    </w:p>
    <w:p w:rsidR="0073783E" w:rsidRPr="0073783E" w:rsidRDefault="0073783E" w:rsidP="0073783E">
      <w:pPr>
        <w:autoSpaceDE w:val="0"/>
        <w:autoSpaceDN w:val="0"/>
        <w:adjustRightInd w:val="0"/>
        <w:jc w:val="both"/>
        <w:rPr>
          <w:rFonts w:eastAsia="AdvGulliv-R"/>
          <w:lang w:val="en-US"/>
        </w:rPr>
      </w:pPr>
      <w:r>
        <w:rPr>
          <w:rFonts w:eastAsia="AdvGulliv-R"/>
          <w:lang w:val="en-US"/>
        </w:rPr>
        <w:tab/>
      </w:r>
      <w:r w:rsidRPr="0073783E">
        <w:rPr>
          <w:rFonts w:eastAsia="AdvGulliv-R"/>
          <w:lang w:val="en-US"/>
        </w:rPr>
        <w:t xml:space="preserve">Five different EDCs were selected as model compounds for monitoring in seven selected treatment plants; two natural hormones: estrone and progesterone, exclusively discharged by humans. Carbamazepine, diltiazem and acetaminophen are pharmaceuticals often detected in wastewaters at ppb levels. </w:t>
      </w:r>
    </w:p>
    <w:p w:rsidR="0073783E" w:rsidRPr="0073783E" w:rsidRDefault="0073783E" w:rsidP="0073783E">
      <w:pPr>
        <w:autoSpaceDE w:val="0"/>
        <w:autoSpaceDN w:val="0"/>
        <w:adjustRightInd w:val="0"/>
        <w:jc w:val="both"/>
        <w:rPr>
          <w:rFonts w:eastAsia="AdvGulliv-R"/>
          <w:lang w:val="en-US"/>
        </w:rPr>
      </w:pPr>
      <w:r>
        <w:rPr>
          <w:rFonts w:eastAsia="AdvGulliv-R"/>
          <w:lang w:val="en-US"/>
        </w:rPr>
        <w:tab/>
      </w:r>
      <w:r w:rsidRPr="0073783E">
        <w:rPr>
          <w:rFonts w:eastAsia="AdvGulliv-R"/>
          <w:lang w:val="en-US"/>
        </w:rPr>
        <w:t>The 24 h composite samples were analyzed in influents and effluents of various modifications of conventional activated sludge (CAS) and one membrane, MBR, plant. One striking finding was the removals obtained in conventional plants, which were far exceeding those obtained in the mid-scale or lab-scale MBR plants. The hydrophilic species were found amenable to biological treatment whereas the two strongly hydrophobic chemicals (KOW&gt;4), carbamazepine and diltiazem, were effectively removed by the CAS process mainly by sorption onto sludge, whereas the MBR plants were unable to remove these compounds from effluents, not even by sorption onto sludge. This is a cause for concern as MBRs are considered the future generation of wastewater treatment since their effluents are sparklingly clear and disinfected, hence suitable for reuse. An ozone assisted aerobic sludge digestion process developed in the lab provided &gt;99% EDCS removal at reasonable cost.</w:t>
      </w:r>
    </w:p>
    <w:p w:rsidR="0073783E" w:rsidRDefault="0073783E" w:rsidP="006D3239">
      <w:pPr>
        <w:spacing w:line="360" w:lineRule="auto"/>
        <w:ind w:firstLine="720"/>
        <w:jc w:val="both"/>
        <w:rPr>
          <w:rFonts w:eastAsia="MS PGothic"/>
          <w:color w:val="000000"/>
          <w:szCs w:val="32"/>
        </w:rPr>
      </w:pPr>
    </w:p>
    <w:p w:rsidR="0073783E" w:rsidRDefault="0073783E" w:rsidP="006D3239">
      <w:pPr>
        <w:spacing w:line="360" w:lineRule="auto"/>
        <w:ind w:firstLine="720"/>
        <w:jc w:val="both"/>
        <w:rPr>
          <w:rFonts w:eastAsia="MS PGothic"/>
          <w:color w:val="000000"/>
          <w:szCs w:val="32"/>
        </w:rPr>
      </w:pPr>
    </w:p>
    <w:p w:rsidR="00AC3BCD" w:rsidRDefault="00AC3BCD" w:rsidP="00AC3BCD">
      <w:pPr>
        <w:jc w:val="both"/>
        <w:rPr>
          <w:b/>
        </w:rPr>
      </w:pPr>
      <w:r>
        <w:rPr>
          <w:b/>
        </w:rPr>
        <w:t>Biography</w:t>
      </w:r>
    </w:p>
    <w:p w:rsidR="00AC3BCD" w:rsidRDefault="00AC3BCD" w:rsidP="00AC3BCD">
      <w:pPr>
        <w:jc w:val="both"/>
        <w:rPr>
          <w:b/>
        </w:rPr>
      </w:pPr>
    </w:p>
    <w:p w:rsidR="00F77290" w:rsidRDefault="00675647" w:rsidP="00641332">
      <w:pPr>
        <w:spacing w:line="360" w:lineRule="auto"/>
        <w:jc w:val="both"/>
      </w:pPr>
      <w:r w:rsidRPr="00675647">
        <w:t xml:space="preserve">Dr. </w:t>
      </w:r>
      <w:r w:rsidR="00F77290">
        <w:t xml:space="preserve">Celal F Gokcay has </w:t>
      </w:r>
      <w:r w:rsidRPr="00675647">
        <w:t xml:space="preserve">been Graduated from </w:t>
      </w:r>
      <w:r w:rsidR="00F77290">
        <w:t xml:space="preserve">University of Istanbul </w:t>
      </w:r>
      <w:r w:rsidRPr="00675647">
        <w:t xml:space="preserve">as </w:t>
      </w:r>
      <w:r w:rsidR="00F77290">
        <w:t xml:space="preserve">a biologist. He did his Ph.D. </w:t>
      </w:r>
      <w:r w:rsidR="00A23F15">
        <w:t xml:space="preserve">in the </w:t>
      </w:r>
      <w:r w:rsidR="00F77290">
        <w:t>University of Wales</w:t>
      </w:r>
      <w:r w:rsidRPr="00675647">
        <w:t xml:space="preserve">, </w:t>
      </w:r>
      <w:r w:rsidR="00F77290">
        <w:t>Dept. of Microbiology</w:t>
      </w:r>
      <w:r w:rsidR="00A23F15">
        <w:t>,</w:t>
      </w:r>
      <w:r w:rsidR="00F77290">
        <w:t xml:space="preserve"> University College Cardiff. He then took up Teaching Assistantship in the Middle East Technical University, Dept. of Environmental Engineering in 1978. He worked as  professor at the same department from 1990 until his  retirement in 2014.</w:t>
      </w:r>
      <w:r w:rsidR="00A23F15">
        <w:t xml:space="preserve"> He specialized in treatment of xenobiotics and bio-process kinetics. </w:t>
      </w:r>
    </w:p>
    <w:p w:rsidR="00F77290" w:rsidRDefault="00F77290" w:rsidP="00641332">
      <w:pPr>
        <w:spacing w:line="360" w:lineRule="auto"/>
        <w:jc w:val="both"/>
      </w:pPr>
    </w:p>
    <w:p w:rsidR="00482D47" w:rsidRPr="00054B45" w:rsidRDefault="00482D47" w:rsidP="00482D47">
      <w:r w:rsidRPr="00136022">
        <w:rPr>
          <w:b/>
        </w:rPr>
        <w:lastRenderedPageBreak/>
        <w:t>Keywords:</w:t>
      </w:r>
      <w:r>
        <w:t xml:space="preserve"> </w:t>
      </w:r>
      <w:r w:rsidR="00A23F15">
        <w:t xml:space="preserve">endocrine disrupting compounds, wastewater treatment, </w:t>
      </w:r>
    </w:p>
    <w:p w:rsidR="00482D47" w:rsidRDefault="00482D47" w:rsidP="00482D47">
      <w:pPr>
        <w:pStyle w:val="Paragraph"/>
        <w:tabs>
          <w:tab w:val="left" w:pos="2520"/>
        </w:tabs>
        <w:ind w:firstLine="0"/>
        <w:jc w:val="both"/>
        <w:rPr>
          <w:b/>
          <w:bCs/>
          <w:sz w:val="24"/>
        </w:rPr>
      </w:pPr>
    </w:p>
    <w:p w:rsidR="00482D47" w:rsidRPr="00E478C5" w:rsidRDefault="00482D47" w:rsidP="00482D47">
      <w:pPr>
        <w:pStyle w:val="Paragraph"/>
        <w:tabs>
          <w:tab w:val="left" w:pos="2520"/>
        </w:tabs>
        <w:ind w:firstLine="0"/>
        <w:jc w:val="both"/>
        <w:rPr>
          <w:bCs/>
          <w:sz w:val="22"/>
          <w:szCs w:val="22"/>
        </w:rPr>
      </w:pPr>
      <w:r w:rsidRPr="00E478C5">
        <w:rPr>
          <w:b/>
          <w:bCs/>
          <w:sz w:val="22"/>
          <w:szCs w:val="22"/>
        </w:rPr>
        <w:t>Desired presentation</w:t>
      </w:r>
      <w:r w:rsidR="00294731" w:rsidRPr="00E478C5">
        <w:rPr>
          <w:b/>
          <w:bCs/>
          <w:sz w:val="22"/>
          <w:szCs w:val="22"/>
        </w:rPr>
        <w:t xml:space="preserve">  </w:t>
      </w:r>
      <w:r w:rsidRPr="00E478C5">
        <w:rPr>
          <w:b/>
          <w:bCs/>
          <w:sz w:val="22"/>
          <w:szCs w:val="22"/>
        </w:rPr>
        <w:t>:</w:t>
      </w:r>
      <w:r w:rsidRPr="00E478C5">
        <w:rPr>
          <w:b/>
          <w:bCs/>
          <w:sz w:val="22"/>
          <w:szCs w:val="22"/>
        </w:rPr>
        <w:tab/>
      </w:r>
      <w:r w:rsidR="00A23F15">
        <w:rPr>
          <w:b/>
          <w:bCs/>
          <w:sz w:val="22"/>
          <w:szCs w:val="22"/>
        </w:rPr>
        <w:t>X</w:t>
      </w:r>
      <w:r w:rsidRPr="00E478C5">
        <w:rPr>
          <w:bCs/>
          <w:sz w:val="22"/>
          <w:szCs w:val="22"/>
        </w:rPr>
        <w:t xml:space="preserve"> Oral </w:t>
      </w:r>
      <w:r w:rsidRPr="00E478C5">
        <w:rPr>
          <w:bCs/>
          <w:sz w:val="22"/>
          <w:szCs w:val="22"/>
        </w:rPr>
        <w:tab/>
        <w:t xml:space="preserve">/ </w:t>
      </w:r>
      <w:r w:rsidRPr="00E478C5">
        <w:rPr>
          <w:bCs/>
          <w:sz w:val="22"/>
          <w:szCs w:val="22"/>
        </w:rPr>
        <w:tab/>
        <w:t>_ Poster</w:t>
      </w:r>
      <w:r w:rsidRPr="00E478C5">
        <w:rPr>
          <w:bCs/>
          <w:sz w:val="22"/>
          <w:szCs w:val="22"/>
        </w:rPr>
        <w:tab/>
        <w:t xml:space="preserve"> / </w:t>
      </w:r>
      <w:r w:rsidRPr="00E478C5">
        <w:rPr>
          <w:bCs/>
          <w:sz w:val="22"/>
          <w:szCs w:val="22"/>
        </w:rPr>
        <w:tab/>
        <w:t>_ either</w:t>
      </w:r>
    </w:p>
    <w:p w:rsidR="00482D47" w:rsidRPr="00E478C5" w:rsidRDefault="00482D47" w:rsidP="00482D47">
      <w:pPr>
        <w:pStyle w:val="Paragraph"/>
        <w:tabs>
          <w:tab w:val="left" w:pos="2520"/>
        </w:tabs>
        <w:ind w:firstLine="0"/>
        <w:jc w:val="both"/>
        <w:rPr>
          <w:bCs/>
          <w:sz w:val="6"/>
          <w:szCs w:val="22"/>
        </w:rPr>
      </w:pPr>
    </w:p>
    <w:p w:rsidR="009371BA" w:rsidRPr="009371BA" w:rsidRDefault="00482D47" w:rsidP="00482D47">
      <w:pPr>
        <w:pStyle w:val="Paragraph"/>
        <w:tabs>
          <w:tab w:val="left" w:pos="2520"/>
        </w:tabs>
        <w:ind w:firstLine="0"/>
        <w:jc w:val="both"/>
        <w:rPr>
          <w:bCs/>
          <w:sz w:val="22"/>
          <w:szCs w:val="22"/>
        </w:rPr>
      </w:pPr>
      <w:r w:rsidRPr="00E478C5">
        <w:rPr>
          <w:b/>
          <w:bCs/>
          <w:sz w:val="22"/>
          <w:szCs w:val="22"/>
        </w:rPr>
        <w:t>Topic</w:t>
      </w:r>
      <w:r w:rsidR="00294731" w:rsidRPr="00E478C5">
        <w:rPr>
          <w:b/>
          <w:bCs/>
          <w:sz w:val="22"/>
          <w:szCs w:val="22"/>
        </w:rPr>
        <w:t xml:space="preserve">                         </w:t>
      </w:r>
      <w:r w:rsidRPr="00E478C5">
        <w:rPr>
          <w:b/>
          <w:bCs/>
          <w:sz w:val="22"/>
          <w:szCs w:val="22"/>
        </w:rPr>
        <w:t>:</w:t>
      </w:r>
      <w:r w:rsidRPr="00E478C5">
        <w:rPr>
          <w:b/>
          <w:bCs/>
          <w:sz w:val="22"/>
          <w:szCs w:val="22"/>
        </w:rPr>
        <w:tab/>
      </w:r>
      <w:r w:rsidR="009371BA" w:rsidRPr="009371BA">
        <w:rPr>
          <w:bCs/>
          <w:sz w:val="22"/>
          <w:szCs w:val="22"/>
        </w:rPr>
        <w:t>Advancement</w:t>
      </w:r>
      <w:r w:rsidR="009371BA">
        <w:rPr>
          <w:b/>
          <w:bCs/>
          <w:sz w:val="22"/>
          <w:szCs w:val="22"/>
        </w:rPr>
        <w:t xml:space="preserve"> </w:t>
      </w:r>
      <w:r w:rsidR="009371BA">
        <w:rPr>
          <w:bCs/>
          <w:sz w:val="22"/>
          <w:szCs w:val="22"/>
        </w:rPr>
        <w:t>in Treatment and P</w:t>
      </w:r>
      <w:r w:rsidR="009371BA" w:rsidRPr="009371BA">
        <w:rPr>
          <w:bCs/>
          <w:sz w:val="22"/>
          <w:szCs w:val="22"/>
        </w:rPr>
        <w:t>revention of Endocrinology Disorders.</w:t>
      </w:r>
    </w:p>
    <w:p w:rsidR="00A23F15" w:rsidRDefault="00482D47" w:rsidP="00482D47">
      <w:pPr>
        <w:pStyle w:val="Paragraph"/>
        <w:tabs>
          <w:tab w:val="left" w:pos="2520"/>
        </w:tabs>
        <w:ind w:firstLine="0"/>
        <w:jc w:val="both"/>
        <w:rPr>
          <w:sz w:val="22"/>
          <w:szCs w:val="22"/>
        </w:rPr>
      </w:pPr>
      <w:r w:rsidRPr="00E478C5">
        <w:rPr>
          <w:b/>
          <w:bCs/>
          <w:sz w:val="22"/>
          <w:szCs w:val="22"/>
        </w:rPr>
        <w:t>Corresponding Author</w:t>
      </w:r>
      <w:r w:rsidR="00294731" w:rsidRPr="00E478C5">
        <w:rPr>
          <w:b/>
          <w:bCs/>
          <w:sz w:val="22"/>
          <w:szCs w:val="22"/>
        </w:rPr>
        <w:t xml:space="preserve"> Details</w:t>
      </w:r>
      <w:r w:rsidRPr="00E478C5">
        <w:rPr>
          <w:b/>
          <w:bCs/>
          <w:sz w:val="22"/>
          <w:szCs w:val="22"/>
        </w:rPr>
        <w:t>:</w:t>
      </w:r>
      <w:r w:rsidRPr="00E478C5">
        <w:rPr>
          <w:sz w:val="22"/>
          <w:szCs w:val="22"/>
        </w:rPr>
        <w:tab/>
      </w:r>
      <w:r w:rsidR="00A23F15">
        <w:rPr>
          <w:sz w:val="22"/>
          <w:szCs w:val="22"/>
        </w:rPr>
        <w:t>Celal F Gokcay</w:t>
      </w:r>
    </w:p>
    <w:p w:rsidR="00482D47" w:rsidRPr="00E478C5" w:rsidRDefault="00482D47" w:rsidP="00482D47">
      <w:pPr>
        <w:pStyle w:val="Paragraph"/>
        <w:tabs>
          <w:tab w:val="left" w:pos="2520"/>
        </w:tabs>
        <w:ind w:firstLine="0"/>
        <w:jc w:val="both"/>
        <w:rPr>
          <w:sz w:val="22"/>
          <w:szCs w:val="22"/>
        </w:rPr>
      </w:pPr>
      <w:r w:rsidRPr="00E478C5">
        <w:rPr>
          <w:sz w:val="22"/>
          <w:szCs w:val="22"/>
        </w:rPr>
        <w:tab/>
      </w:r>
      <w:r w:rsidR="00294731" w:rsidRPr="00E478C5">
        <w:rPr>
          <w:sz w:val="22"/>
          <w:szCs w:val="22"/>
        </w:rPr>
        <w:t xml:space="preserve">              </w:t>
      </w:r>
      <w:r w:rsidR="00A23F15">
        <w:rPr>
          <w:sz w:val="22"/>
          <w:szCs w:val="22"/>
        </w:rPr>
        <w:t xml:space="preserve">  cfgokcay@metu.edu.tr</w:t>
      </w:r>
    </w:p>
    <w:p w:rsidR="00482D47" w:rsidRPr="00E478C5" w:rsidRDefault="00482D47" w:rsidP="00482D47">
      <w:pPr>
        <w:pStyle w:val="Paragraph"/>
        <w:tabs>
          <w:tab w:val="left" w:pos="2520"/>
        </w:tabs>
        <w:ind w:firstLine="0"/>
        <w:jc w:val="both"/>
        <w:rPr>
          <w:sz w:val="22"/>
          <w:szCs w:val="22"/>
          <w:lang w:val="en-GB"/>
        </w:rPr>
      </w:pPr>
      <w:r w:rsidRPr="00E478C5">
        <w:rPr>
          <w:sz w:val="22"/>
          <w:szCs w:val="22"/>
        </w:rPr>
        <w:tab/>
      </w:r>
      <w:r w:rsidR="00294731" w:rsidRPr="00E478C5">
        <w:rPr>
          <w:sz w:val="22"/>
          <w:szCs w:val="22"/>
        </w:rPr>
        <w:t xml:space="preserve">                </w:t>
      </w:r>
      <w:r w:rsidR="00A23F15">
        <w:rPr>
          <w:sz w:val="22"/>
          <w:szCs w:val="22"/>
        </w:rPr>
        <w:t>Middle East Technical Univeersity (retiired)</w:t>
      </w:r>
    </w:p>
    <w:p w:rsidR="00A23F15" w:rsidRPr="00E478C5" w:rsidRDefault="00482D47" w:rsidP="00482D47">
      <w:pPr>
        <w:pStyle w:val="Paragraph"/>
        <w:tabs>
          <w:tab w:val="left" w:pos="2520"/>
        </w:tabs>
        <w:ind w:firstLine="0"/>
        <w:jc w:val="both"/>
        <w:rPr>
          <w:sz w:val="22"/>
          <w:szCs w:val="22"/>
        </w:rPr>
      </w:pPr>
      <w:r w:rsidRPr="00E478C5">
        <w:rPr>
          <w:sz w:val="22"/>
          <w:szCs w:val="22"/>
        </w:rPr>
        <w:tab/>
      </w:r>
      <w:r w:rsidR="00294731" w:rsidRPr="00E478C5">
        <w:rPr>
          <w:sz w:val="22"/>
          <w:szCs w:val="22"/>
        </w:rPr>
        <w:t xml:space="preserve">                </w:t>
      </w:r>
      <w:r w:rsidR="00A23F15">
        <w:rPr>
          <w:sz w:val="22"/>
          <w:szCs w:val="22"/>
        </w:rPr>
        <w:t>Ankara, Turkey</w:t>
      </w:r>
    </w:p>
    <w:p w:rsidR="00482D47" w:rsidRPr="00E478C5" w:rsidRDefault="00482D47" w:rsidP="00482D47">
      <w:pPr>
        <w:pStyle w:val="Paragraph"/>
        <w:tabs>
          <w:tab w:val="left" w:pos="2520"/>
        </w:tabs>
        <w:ind w:firstLine="0"/>
        <w:jc w:val="both"/>
        <w:rPr>
          <w:sz w:val="22"/>
          <w:szCs w:val="22"/>
        </w:rPr>
      </w:pPr>
      <w:r w:rsidRPr="00E478C5">
        <w:rPr>
          <w:sz w:val="22"/>
          <w:szCs w:val="22"/>
        </w:rPr>
        <w:tab/>
      </w:r>
      <w:r w:rsidR="00294731" w:rsidRPr="00E478C5">
        <w:rPr>
          <w:sz w:val="22"/>
          <w:szCs w:val="22"/>
        </w:rPr>
        <w:t xml:space="preserve">                </w:t>
      </w:r>
      <w:r w:rsidR="00A23F15">
        <w:rPr>
          <w:sz w:val="22"/>
          <w:szCs w:val="22"/>
        </w:rPr>
        <w:t>+90 5323307444</w:t>
      </w:r>
    </w:p>
    <w:p w:rsidR="00AC3BCD" w:rsidRPr="00A41107" w:rsidRDefault="00AC3BCD" w:rsidP="00AC3BCD">
      <w:pPr>
        <w:jc w:val="both"/>
        <w:rPr>
          <w:rFonts w:eastAsia="MS PGothic"/>
          <w:b/>
          <w:color w:val="000000"/>
          <w:szCs w:val="32"/>
        </w:rPr>
      </w:pPr>
    </w:p>
    <w:sectPr w:rsidR="00AC3BCD" w:rsidRPr="00A41107" w:rsidSect="00294731">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27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507F" w:rsidRDefault="0081507F" w:rsidP="00671A59">
      <w:r>
        <w:separator/>
      </w:r>
    </w:p>
  </w:endnote>
  <w:endnote w:type="continuationSeparator" w:id="1">
    <w:p w:rsidR="0081507F" w:rsidRDefault="0081507F"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dvGulliv-R">
    <w:altName w:val="MS Mincho"/>
    <w:panose1 w:val="00000000000000000000"/>
    <w:charset w:val="80"/>
    <w:family w:val="auto"/>
    <w:notTrueType/>
    <w:pitch w:val="default"/>
    <w:sig w:usb0="00000000"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SourceSansPro-Regular">
    <w:panose1 w:val="00000000000000000000"/>
    <w:charset w:val="A2"/>
    <w:family w:val="auto"/>
    <w:notTrueType/>
    <w:pitch w:val="default"/>
    <w:sig w:usb0="00000005" w:usb1="00000000" w:usb2="00000000" w:usb3="00000000" w:csb0="00000010"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4" w:rsidRDefault="00EA1A84">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4" w:rsidRDefault="00EA1A84">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4" w:rsidRDefault="00EA1A84">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507F" w:rsidRDefault="0081507F" w:rsidP="00671A59">
      <w:r>
        <w:separator/>
      </w:r>
    </w:p>
  </w:footnote>
  <w:footnote w:type="continuationSeparator" w:id="1">
    <w:p w:rsidR="0081507F" w:rsidRDefault="0081507F"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4" w:rsidRDefault="00EA1A84">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C7" w:rsidRDefault="001858C7" w:rsidP="00294731">
    <w:pPr>
      <w:pStyle w:val="stbilgi"/>
      <w:spacing w:line="276" w:lineRule="auto"/>
      <w:jc w:val="center"/>
      <w:rPr>
        <w:lang w:val="en-US"/>
      </w:rPr>
    </w:pPr>
    <w:r w:rsidRPr="001858C7">
      <w:rPr>
        <w:lang w:val="en-US"/>
      </w:rPr>
      <w:t xml:space="preserve">11th International Conference on Endocrinology </w:t>
    </w:r>
  </w:p>
  <w:p w:rsidR="00294731" w:rsidRPr="00ED7EEB" w:rsidRDefault="00EA1A84" w:rsidP="001858C7">
    <w:pPr>
      <w:pStyle w:val="stbilgi"/>
      <w:spacing w:line="276" w:lineRule="auto"/>
      <w:jc w:val="center"/>
      <w:rPr>
        <w:lang w:val="en-US"/>
      </w:rPr>
    </w:pPr>
    <w:r>
      <w:rPr>
        <w:lang w:val="en-US"/>
      </w:rPr>
      <w:t xml:space="preserve">August </w:t>
    </w:r>
    <w:r w:rsidR="001858C7">
      <w:rPr>
        <w:lang w:val="en-US"/>
      </w:rPr>
      <w:t>9</w:t>
    </w:r>
    <w:r w:rsidR="006324B3">
      <w:rPr>
        <w:lang w:val="en-US"/>
      </w:rPr>
      <w:t>-</w:t>
    </w:r>
    <w:r w:rsidR="001858C7">
      <w:rPr>
        <w:lang w:val="en-US"/>
      </w:rPr>
      <w:t>10, 2018</w:t>
    </w:r>
    <w:r w:rsidR="006324B3">
      <w:rPr>
        <w:lang w:val="en-US"/>
      </w:rPr>
      <w:t xml:space="preserve"> </w:t>
    </w:r>
    <w:r w:rsidR="001858C7">
      <w:rPr>
        <w:lang w:val="en-US"/>
      </w:rPr>
      <w:t>Madrid</w:t>
    </w:r>
    <w:r w:rsidR="001858C7" w:rsidRPr="001858C7">
      <w:rPr>
        <w:lang w:val="en-US"/>
      </w:rPr>
      <w:t>, Spain</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4" w:rsidRDefault="00EA1A84">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0"/>
    <w:footnote w:id="1"/>
  </w:footnotePr>
  <w:endnotePr>
    <w:endnote w:id="0"/>
    <w:endnote w:id="1"/>
  </w:endnotePr>
  <w:compat/>
  <w:rsids>
    <w:rsidRoot w:val="00BF5676"/>
    <w:rsid w:val="00023D76"/>
    <w:rsid w:val="00072E30"/>
    <w:rsid w:val="00085B88"/>
    <w:rsid w:val="00090564"/>
    <w:rsid w:val="00097CA5"/>
    <w:rsid w:val="000A00D9"/>
    <w:rsid w:val="000A4C72"/>
    <w:rsid w:val="000D226D"/>
    <w:rsid w:val="000E7A02"/>
    <w:rsid w:val="00101A04"/>
    <w:rsid w:val="00106952"/>
    <w:rsid w:val="00120A14"/>
    <w:rsid w:val="001216E5"/>
    <w:rsid w:val="0013563F"/>
    <w:rsid w:val="00145878"/>
    <w:rsid w:val="001858C7"/>
    <w:rsid w:val="001A411C"/>
    <w:rsid w:val="001B1336"/>
    <w:rsid w:val="001B6DE6"/>
    <w:rsid w:val="001C51E2"/>
    <w:rsid w:val="001E43FD"/>
    <w:rsid w:val="001F414A"/>
    <w:rsid w:val="00205354"/>
    <w:rsid w:val="002659F1"/>
    <w:rsid w:val="00270EC9"/>
    <w:rsid w:val="00292DC0"/>
    <w:rsid w:val="00294731"/>
    <w:rsid w:val="002A1055"/>
    <w:rsid w:val="002B18D5"/>
    <w:rsid w:val="002B6314"/>
    <w:rsid w:val="002C0D06"/>
    <w:rsid w:val="002C0F2B"/>
    <w:rsid w:val="0035167E"/>
    <w:rsid w:val="003753DD"/>
    <w:rsid w:val="003A4429"/>
    <w:rsid w:val="003B4E1B"/>
    <w:rsid w:val="003F1BA1"/>
    <w:rsid w:val="004775E3"/>
    <w:rsid w:val="00482D47"/>
    <w:rsid w:val="0049217F"/>
    <w:rsid w:val="004A262E"/>
    <w:rsid w:val="004A2CA1"/>
    <w:rsid w:val="004B3B30"/>
    <w:rsid w:val="004E735A"/>
    <w:rsid w:val="00505DA1"/>
    <w:rsid w:val="005408D9"/>
    <w:rsid w:val="005433C9"/>
    <w:rsid w:val="00555DAD"/>
    <w:rsid w:val="005B168A"/>
    <w:rsid w:val="005C2EA1"/>
    <w:rsid w:val="005C3848"/>
    <w:rsid w:val="005C503B"/>
    <w:rsid w:val="005D43ED"/>
    <w:rsid w:val="00605142"/>
    <w:rsid w:val="00612C13"/>
    <w:rsid w:val="006228DD"/>
    <w:rsid w:val="006324B3"/>
    <w:rsid w:val="00641332"/>
    <w:rsid w:val="006511AA"/>
    <w:rsid w:val="00671A59"/>
    <w:rsid w:val="00675647"/>
    <w:rsid w:val="00691F82"/>
    <w:rsid w:val="006B463C"/>
    <w:rsid w:val="006C51B8"/>
    <w:rsid w:val="006D3239"/>
    <w:rsid w:val="006F0C5C"/>
    <w:rsid w:val="00723BBB"/>
    <w:rsid w:val="007258AA"/>
    <w:rsid w:val="0073783E"/>
    <w:rsid w:val="00743CCA"/>
    <w:rsid w:val="00746319"/>
    <w:rsid w:val="00774D85"/>
    <w:rsid w:val="007875D1"/>
    <w:rsid w:val="00790C29"/>
    <w:rsid w:val="007C121A"/>
    <w:rsid w:val="007F0333"/>
    <w:rsid w:val="007F49A8"/>
    <w:rsid w:val="00800D58"/>
    <w:rsid w:val="0081507F"/>
    <w:rsid w:val="00834D93"/>
    <w:rsid w:val="00862283"/>
    <w:rsid w:val="00872C88"/>
    <w:rsid w:val="008A3E9A"/>
    <w:rsid w:val="008A690F"/>
    <w:rsid w:val="008E5BD8"/>
    <w:rsid w:val="00901E5B"/>
    <w:rsid w:val="00903F7F"/>
    <w:rsid w:val="009371BA"/>
    <w:rsid w:val="00944111"/>
    <w:rsid w:val="0095034D"/>
    <w:rsid w:val="00970E67"/>
    <w:rsid w:val="009821B4"/>
    <w:rsid w:val="009A6AD9"/>
    <w:rsid w:val="009B0CCF"/>
    <w:rsid w:val="009B7F4F"/>
    <w:rsid w:val="009C2BF6"/>
    <w:rsid w:val="009D3EA4"/>
    <w:rsid w:val="009E6632"/>
    <w:rsid w:val="009E6C61"/>
    <w:rsid w:val="00A02F0F"/>
    <w:rsid w:val="00A23A4D"/>
    <w:rsid w:val="00A23F15"/>
    <w:rsid w:val="00A31D17"/>
    <w:rsid w:val="00A41107"/>
    <w:rsid w:val="00A50066"/>
    <w:rsid w:val="00A603E8"/>
    <w:rsid w:val="00A654B7"/>
    <w:rsid w:val="00A668A1"/>
    <w:rsid w:val="00A76E81"/>
    <w:rsid w:val="00A83688"/>
    <w:rsid w:val="00A83863"/>
    <w:rsid w:val="00AA7329"/>
    <w:rsid w:val="00AC3BCD"/>
    <w:rsid w:val="00AD6315"/>
    <w:rsid w:val="00AF4356"/>
    <w:rsid w:val="00B2169C"/>
    <w:rsid w:val="00B26097"/>
    <w:rsid w:val="00B27625"/>
    <w:rsid w:val="00B675D9"/>
    <w:rsid w:val="00BF1A0E"/>
    <w:rsid w:val="00BF5676"/>
    <w:rsid w:val="00C474B1"/>
    <w:rsid w:val="00CE08A2"/>
    <w:rsid w:val="00CE2CBD"/>
    <w:rsid w:val="00D367E3"/>
    <w:rsid w:val="00D66204"/>
    <w:rsid w:val="00DA2249"/>
    <w:rsid w:val="00DA435D"/>
    <w:rsid w:val="00DA581F"/>
    <w:rsid w:val="00DC29A1"/>
    <w:rsid w:val="00DC7405"/>
    <w:rsid w:val="00DD3006"/>
    <w:rsid w:val="00DE2102"/>
    <w:rsid w:val="00E119D1"/>
    <w:rsid w:val="00E33F28"/>
    <w:rsid w:val="00E478C5"/>
    <w:rsid w:val="00E713DA"/>
    <w:rsid w:val="00E85CF8"/>
    <w:rsid w:val="00EA1A84"/>
    <w:rsid w:val="00EB353E"/>
    <w:rsid w:val="00EB7C87"/>
    <w:rsid w:val="00ED51D7"/>
    <w:rsid w:val="00ED67BA"/>
    <w:rsid w:val="00ED7EEB"/>
    <w:rsid w:val="00EE1DF0"/>
    <w:rsid w:val="00EF681E"/>
    <w:rsid w:val="00F01887"/>
    <w:rsid w:val="00F10B0E"/>
    <w:rsid w:val="00F215A7"/>
    <w:rsid w:val="00F30972"/>
    <w:rsid w:val="00F36B5D"/>
    <w:rsid w:val="00F42DCF"/>
    <w:rsid w:val="00F709F5"/>
    <w:rsid w:val="00F77290"/>
    <w:rsid w:val="00F90AE2"/>
    <w:rsid w:val="00FA5CBE"/>
    <w:rsid w:val="00FB641C"/>
    <w:rsid w:val="00FC022F"/>
    <w:rsid w:val="00FC1073"/>
    <w:rsid w:val="00FF16A7"/>
    <w:rsid w:val="00FF1F3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2F"/>
    <w:rPr>
      <w:sz w:val="24"/>
      <w:szCs w:val="24"/>
      <w:lang w:val="it-IT" w:eastAsia="it-IT"/>
    </w:rPr>
  </w:style>
  <w:style w:type="paragraph" w:styleId="Balk1">
    <w:name w:val="heading 1"/>
    <w:aliases w:val="title"/>
    <w:basedOn w:val="Normal"/>
    <w:next w:val="Normal"/>
    <w:link w:val="Balk1Char"/>
    <w:uiPriority w:val="9"/>
    <w:qFormat/>
    <w:rsid w:val="00FC1073"/>
    <w:pPr>
      <w:keepNext/>
      <w:jc w:val="center"/>
      <w:outlineLvl w:val="0"/>
    </w:pPr>
    <w:rPr>
      <w:rFonts w:ascii="Cambria" w:hAnsi="Cambria" w:cs="Gautami"/>
      <w:b/>
      <w:bCs/>
      <w:kern w:val="32"/>
      <w:sz w:val="32"/>
      <w:szCs w:val="32"/>
      <w:lang w:bidi="te-IN"/>
    </w:rPr>
  </w:style>
  <w:style w:type="paragraph" w:styleId="Balk3">
    <w:name w:val="heading 3"/>
    <w:aliases w:val="Authors"/>
    <w:basedOn w:val="Normal"/>
    <w:next w:val="Normal"/>
    <w:link w:val="Balk3Char"/>
    <w:uiPriority w:val="9"/>
    <w:qFormat/>
    <w:rsid w:val="00FC1073"/>
    <w:pPr>
      <w:keepNext/>
      <w:spacing w:before="240" w:after="60"/>
      <w:outlineLvl w:val="2"/>
    </w:pPr>
    <w:rPr>
      <w:rFonts w:ascii="Cambria" w:hAnsi="Cambria" w:cs="Gautami"/>
      <w:b/>
      <w:bCs/>
      <w:sz w:val="26"/>
      <w:szCs w:val="26"/>
      <w:lang w:bidi="te-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title Char"/>
    <w:link w:val="Balk1"/>
    <w:uiPriority w:val="9"/>
    <w:rsid w:val="00FC022F"/>
    <w:rPr>
      <w:rFonts w:ascii="Cambria" w:eastAsia="Times New Roman" w:hAnsi="Cambria" w:cs="Times New Roman"/>
      <w:b/>
      <w:bCs/>
      <w:kern w:val="32"/>
      <w:sz w:val="32"/>
      <w:szCs w:val="32"/>
    </w:rPr>
  </w:style>
  <w:style w:type="character" w:customStyle="1" w:styleId="Balk3Char">
    <w:name w:val="Başlık 3 Char"/>
    <w:aliases w:val="Authors Char"/>
    <w:link w:val="Balk3"/>
    <w:uiPriority w:val="9"/>
    <w:semiHidden/>
    <w:rsid w:val="00FC022F"/>
    <w:rPr>
      <w:rFonts w:ascii="Cambria" w:eastAsia="Times New Roman" w:hAnsi="Cambria" w:cs="Times New Roman"/>
      <w:b/>
      <w:bCs/>
      <w:sz w:val="26"/>
      <w:szCs w:val="26"/>
    </w:rPr>
  </w:style>
  <w:style w:type="character" w:styleId="Kpr">
    <w:name w:val="Hyperlink"/>
    <w:uiPriority w:val="99"/>
    <w:rsid w:val="007258AA"/>
    <w:rPr>
      <w:rFonts w:cs="Times New Roman"/>
      <w:color w:val="0000FF"/>
      <w:u w:val="single"/>
    </w:rPr>
  </w:style>
  <w:style w:type="paragraph" w:styleId="GvdeMetni">
    <w:name w:val="Body Text"/>
    <w:basedOn w:val="Normal"/>
    <w:link w:val="GvdeMetniChar"/>
    <w:uiPriority w:val="99"/>
    <w:rsid w:val="007258AA"/>
    <w:pPr>
      <w:suppressAutoHyphens/>
      <w:jc w:val="center"/>
    </w:pPr>
    <w:rPr>
      <w:rFonts w:cs="Gautami"/>
      <w:lang w:bidi="te-IN"/>
    </w:rPr>
  </w:style>
  <w:style w:type="character" w:customStyle="1" w:styleId="GvdeMetniChar">
    <w:name w:val="Gövde Metni Char"/>
    <w:link w:val="GvdeMetni"/>
    <w:uiPriority w:val="99"/>
    <w:semiHidden/>
    <w:rsid w:val="00FC022F"/>
    <w:rPr>
      <w:sz w:val="24"/>
      <w:szCs w:val="24"/>
    </w:rPr>
  </w:style>
  <w:style w:type="character" w:styleId="AklamaBavurusu">
    <w:name w:val="annotation reference"/>
    <w:uiPriority w:val="99"/>
    <w:semiHidden/>
    <w:rsid w:val="00205354"/>
    <w:rPr>
      <w:rFonts w:cs="Times New Roman"/>
      <w:sz w:val="16"/>
      <w:szCs w:val="16"/>
    </w:rPr>
  </w:style>
  <w:style w:type="paragraph" w:styleId="AklamaMetni">
    <w:name w:val="annotation text"/>
    <w:basedOn w:val="Normal"/>
    <w:link w:val="AklamaMetniChar"/>
    <w:uiPriority w:val="99"/>
    <w:semiHidden/>
    <w:rsid w:val="00205354"/>
    <w:rPr>
      <w:rFonts w:cs="Gautami"/>
      <w:sz w:val="20"/>
      <w:szCs w:val="20"/>
      <w:lang w:bidi="te-IN"/>
    </w:rPr>
  </w:style>
  <w:style w:type="character" w:customStyle="1" w:styleId="AklamaMetniChar">
    <w:name w:val="Açıklama Metni Char"/>
    <w:link w:val="AklamaMetni"/>
    <w:uiPriority w:val="99"/>
    <w:semiHidden/>
    <w:rsid w:val="00FC022F"/>
    <w:rPr>
      <w:sz w:val="20"/>
      <w:szCs w:val="20"/>
    </w:rPr>
  </w:style>
  <w:style w:type="paragraph" w:styleId="AklamaKonusu">
    <w:name w:val="annotation subject"/>
    <w:basedOn w:val="AklamaMetni"/>
    <w:next w:val="AklamaMetni"/>
    <w:link w:val="AklamaKonusuChar"/>
    <w:uiPriority w:val="99"/>
    <w:semiHidden/>
    <w:rsid w:val="00205354"/>
    <w:rPr>
      <w:b/>
      <w:bCs/>
    </w:rPr>
  </w:style>
  <w:style w:type="character" w:customStyle="1" w:styleId="AklamaKonusuChar">
    <w:name w:val="Açıklama Konusu Char"/>
    <w:link w:val="AklamaKonusu"/>
    <w:uiPriority w:val="99"/>
    <w:semiHidden/>
    <w:rsid w:val="00FC022F"/>
    <w:rPr>
      <w:b/>
      <w:bCs/>
      <w:sz w:val="20"/>
      <w:szCs w:val="20"/>
    </w:rPr>
  </w:style>
  <w:style w:type="paragraph" w:styleId="BalonMetni">
    <w:name w:val="Balloon Text"/>
    <w:basedOn w:val="Normal"/>
    <w:link w:val="BalonMetniChar"/>
    <w:uiPriority w:val="99"/>
    <w:semiHidden/>
    <w:rsid w:val="00205354"/>
    <w:rPr>
      <w:rFonts w:ascii="Tahoma" w:hAnsi="Tahoma" w:cs="Gautami"/>
      <w:sz w:val="16"/>
      <w:szCs w:val="16"/>
      <w:lang w:bidi="te-IN"/>
    </w:rPr>
  </w:style>
  <w:style w:type="character" w:customStyle="1" w:styleId="BalonMetniChar">
    <w:name w:val="Balon Metni Char"/>
    <w:link w:val="BalonMetni"/>
    <w:uiPriority w:val="99"/>
    <w:semiHidden/>
    <w:rsid w:val="00FC022F"/>
    <w:rPr>
      <w:rFonts w:ascii="Tahoma" w:hAnsi="Tahoma" w:cs="Tahoma"/>
      <w:sz w:val="16"/>
      <w:szCs w:val="16"/>
    </w:rPr>
  </w:style>
  <w:style w:type="paragraph" w:styleId="GvdeMetniGirintisi">
    <w:name w:val="Body Text Indent"/>
    <w:basedOn w:val="Normal"/>
    <w:link w:val="GvdeMetniGirintisiChar"/>
    <w:uiPriority w:val="99"/>
    <w:rsid w:val="00FC1073"/>
    <w:pPr>
      <w:spacing w:after="120"/>
      <w:ind w:left="283"/>
    </w:pPr>
    <w:rPr>
      <w:rFonts w:cs="Gautami"/>
      <w:lang w:bidi="te-IN"/>
    </w:rPr>
  </w:style>
  <w:style w:type="character" w:customStyle="1" w:styleId="GvdeMetniGirintisiChar">
    <w:name w:val="Gövde Metni Girintisi Char"/>
    <w:link w:val="GvdeMetniGirintisi"/>
    <w:uiPriority w:val="99"/>
    <w:semiHidden/>
    <w:rsid w:val="00FC022F"/>
    <w:rPr>
      <w:sz w:val="24"/>
      <w:szCs w:val="24"/>
    </w:rPr>
  </w:style>
  <w:style w:type="paragraph" w:styleId="stbilgi">
    <w:name w:val="header"/>
    <w:basedOn w:val="Normal"/>
    <w:link w:val="stbilgiChar"/>
    <w:uiPriority w:val="99"/>
    <w:unhideWhenUsed/>
    <w:rsid w:val="00671A59"/>
    <w:pPr>
      <w:tabs>
        <w:tab w:val="center" w:pos="4819"/>
        <w:tab w:val="right" w:pos="9638"/>
      </w:tabs>
    </w:pPr>
    <w:rPr>
      <w:rFonts w:cs="Gautami"/>
      <w:lang w:bidi="te-IN"/>
    </w:rPr>
  </w:style>
  <w:style w:type="character" w:customStyle="1" w:styleId="stbilgiChar">
    <w:name w:val="Üstbilgi Char"/>
    <w:link w:val="stbilgi"/>
    <w:uiPriority w:val="99"/>
    <w:rsid w:val="00671A59"/>
    <w:rPr>
      <w:sz w:val="24"/>
      <w:szCs w:val="24"/>
    </w:rPr>
  </w:style>
  <w:style w:type="paragraph" w:styleId="Altbilgi">
    <w:name w:val="footer"/>
    <w:basedOn w:val="Normal"/>
    <w:link w:val="AltbilgiChar"/>
    <w:uiPriority w:val="99"/>
    <w:unhideWhenUsed/>
    <w:rsid w:val="00671A59"/>
    <w:pPr>
      <w:tabs>
        <w:tab w:val="center" w:pos="4819"/>
        <w:tab w:val="right" w:pos="9638"/>
      </w:tabs>
    </w:pPr>
    <w:rPr>
      <w:rFonts w:cs="Gautami"/>
      <w:lang w:bidi="te-IN"/>
    </w:rPr>
  </w:style>
  <w:style w:type="character" w:customStyle="1" w:styleId="AltbilgiChar">
    <w:name w:val="Altbilgi Char"/>
    <w:link w:val="Altbilgi"/>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GvdeMetni2">
    <w:name w:val="Body Text 2"/>
    <w:basedOn w:val="Normal"/>
    <w:link w:val="GvdeMetni2Char"/>
    <w:uiPriority w:val="99"/>
    <w:semiHidden/>
    <w:unhideWhenUsed/>
    <w:rsid w:val="00482D47"/>
    <w:pPr>
      <w:spacing w:after="120" w:line="480" w:lineRule="auto"/>
    </w:pPr>
  </w:style>
  <w:style w:type="character" w:customStyle="1" w:styleId="GvdeMetni2Char">
    <w:name w:val="Gövde Metni 2 Char"/>
    <w:link w:val="GvdeMetni2"/>
    <w:uiPriority w:val="99"/>
    <w:semiHidden/>
    <w:rsid w:val="00482D47"/>
    <w:rPr>
      <w:sz w:val="24"/>
      <w:szCs w:val="24"/>
      <w:lang w:val="it-IT" w:eastAsia="it-IT"/>
    </w:rPr>
  </w:style>
  <w:style w:type="paragraph" w:styleId="GvdeMetniGirintisi2">
    <w:name w:val="Body Text Indent 2"/>
    <w:basedOn w:val="Normal"/>
    <w:link w:val="GvdeMetniGirintisi2Char"/>
    <w:uiPriority w:val="99"/>
    <w:semiHidden/>
    <w:unhideWhenUsed/>
    <w:rsid w:val="00482D47"/>
    <w:pPr>
      <w:spacing w:after="120" w:line="480" w:lineRule="auto"/>
      <w:ind w:left="360"/>
    </w:pPr>
  </w:style>
  <w:style w:type="character" w:customStyle="1" w:styleId="GvdeMetniGirintisi2Char">
    <w:name w:val="Gövde Metni Girintisi 2 Char"/>
    <w:link w:val="GvdeMetniGirintisi2"/>
    <w:uiPriority w:val="99"/>
    <w:semiHidden/>
    <w:rsid w:val="00482D47"/>
    <w:rPr>
      <w:sz w:val="24"/>
      <w:szCs w:val="24"/>
      <w:lang w:val="it-IT" w:eastAsia="it-IT"/>
    </w:rPr>
  </w:style>
  <w:style w:type="character" w:customStyle="1" w:styleId="apple-converted-space">
    <w:name w:val="apple-converted-space"/>
    <w:rsid w:val="006D3239"/>
  </w:style>
  <w:style w:type="character" w:styleId="Gl">
    <w:name w:val="Strong"/>
    <w:uiPriority w:val="22"/>
    <w:qFormat/>
    <w:rsid w:val="006D3239"/>
    <w:rPr>
      <w:b/>
      <w:bCs/>
    </w:rPr>
  </w:style>
</w:styles>
</file>

<file path=word/webSettings.xml><?xml version="1.0" encoding="utf-8"?>
<w:webSettings xmlns:r="http://schemas.openxmlformats.org/officeDocument/2006/relationships" xmlns:w="http://schemas.openxmlformats.org/wordprocessingml/2006/main">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8EA84-D3C4-4399-A21E-A164B93AE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2725</Characters>
  <Application>Microsoft Office Word</Application>
  <DocSecurity>0</DocSecurity>
  <Lines>22</Lines>
  <Paragraphs>6</Paragraphs>
  <ScaleCrop>false</ScaleCrop>
  <HeadingPairs>
    <vt:vector size="6" baseType="variant">
      <vt:variant>
        <vt:lpstr>Konu Başlığı</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3196</CharactersWithSpaces>
  <SharedDoc>false</SharedDoc>
  <HLinks>
    <vt:vector size="6" baseType="variant">
      <vt:variant>
        <vt:i4>3473415</vt:i4>
      </vt:variant>
      <vt:variant>
        <vt:i4>0</vt:i4>
      </vt:variant>
      <vt:variant>
        <vt:i4>0</vt:i4>
      </vt:variant>
      <vt:variant>
        <vt:i4>5</vt:i4>
      </vt:variant>
      <vt:variant>
        <vt:lpwstr>mailto:endocrinology@eurosciconmeetings.com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2018-01-21T18:50:00Z</dcterms:created>
  <dcterms:modified xsi:type="dcterms:W3CDTF">2018-01-22T08:35:00Z</dcterms:modified>
</cp:coreProperties>
</file>