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3">
      <w:pPr>
        <w:shd w:val="clear" w:color="auto" w:fill="FFFFFF" w:themeFill="background1"/>
        <w:spacing w:line="288" w:lineRule="auto"/>
        <w:jc w:val="center"/>
        <w:rPr>
          <w:i/>
          <w:iCs/>
          <w:color w:val="595959"/>
          <w:sz w:val="23"/>
          <w:szCs w:val="23"/>
        </w:rPr>
      </w:pPr>
      <w:r>
        <w:rPr>
          <w:b/>
          <w:bCs/>
          <w:color w:val="1F3864"/>
          <w:sz w:val="30"/>
          <w:szCs w:val="30"/>
          <w:lang w:val="en-US"/>
        </w:rPr>
        <w:t>Beyond the Esophagus -</w:t>
      </w:r>
      <w:r>
        <w:rPr>
          <w:b/>
          <w:bCs/>
          <w:color w:val="1F3864"/>
          <w:sz w:val="30"/>
          <w:szCs w:val="30"/>
          <w:lang w:val="en-US"/>
        </w:rPr>
        <w:t xml:space="preserve">Tracheal Wall Injury </w:t>
      </w:r>
      <w:r>
        <w:rPr>
          <w:b/>
          <w:bCs/>
          <w:color w:val="1F3864"/>
          <w:sz w:val="30"/>
          <w:szCs w:val="30"/>
          <w:lang w:val="en-US"/>
        </w:rPr>
        <w:t>following Bougie</w:t>
      </w:r>
      <w:r>
        <w:rPr>
          <w:b/>
          <w:bCs/>
          <w:color w:val="1F3864"/>
          <w:sz w:val="30"/>
          <w:szCs w:val="30"/>
          <w:lang w:val="en-US"/>
        </w:rPr>
        <w:t xml:space="preserve"> </w:t>
      </w:r>
      <w:r>
        <w:rPr>
          <w:b/>
          <w:bCs/>
          <w:color w:val="1F3864"/>
          <w:sz w:val="30"/>
          <w:szCs w:val="30"/>
          <w:lang w:val="en-US"/>
        </w:rPr>
        <w:t>assisted</w:t>
      </w:r>
      <w:r>
        <w:rPr>
          <w:b/>
          <w:bCs/>
          <w:color w:val="1F3864"/>
          <w:sz w:val="30"/>
          <w:szCs w:val="30"/>
          <w:lang w:val="en-US"/>
        </w:rPr>
        <w:t xml:space="preserve"> Intubation -A Case Report of rare </w:t>
      </w:r>
      <w:r>
        <w:rPr>
          <w:b/>
          <w:bCs/>
          <w:color w:val="1F3864"/>
          <w:sz w:val="30"/>
          <w:szCs w:val="30"/>
          <w:lang w:val="en-US"/>
        </w:rPr>
        <w:t>complication</w:t>
      </w:r>
      <w:r>
        <w:rPr>
          <w:b/>
          <w:bCs/>
          <w:color w:val="1F3864"/>
          <w:sz w:val="30"/>
          <w:szCs w:val="30"/>
          <w:lang w:val="en-US"/>
        </w:rPr>
        <w:t>.</w:t>
      </w:r>
    </w:p>
    <w:p w14:paraId="00000004">
      <w:pPr>
        <w:rPr>
          <w:b/>
          <w:bCs/>
          <w:color w:val="0D0D0D" w:themeColor="text1" w:themeTint="F2"/>
          <w14:textFill>
            <w14:solidFill>
              <w14:schemeClr w14:val="tx1">
                <w14:lumMod w14:val="95000"/>
                <w14:lumOff w14:val="5000"/>
              </w14:schemeClr>
            </w14:solidFill>
          </w14:textFill>
        </w:rPr>
      </w:pPr>
    </w:p>
    <w:p w14:paraId="00000005">
      <w:pPr>
        <w:shd w:val="clear" w:color="auto" w:fill="FFFFFF" w:themeFill="background1"/>
        <w:spacing w:line="288" w:lineRule="auto"/>
        <w:jc w:val="center"/>
        <w:rPr>
          <w:i/>
          <w:iCs/>
          <w:color w:val="C00000"/>
        </w:rPr>
      </w:pPr>
      <w:r>
        <w:rPr>
          <w:b/>
          <w:bCs/>
          <w:i/>
          <w:iCs/>
          <w:color w:val="C00000"/>
        </w:rPr>
        <w:t>Dr. Vaishnavi Jayasree Shekaripuram Sadasivan</w:t>
      </w:r>
      <w:r>
        <w:rPr>
          <w:b/>
          <w:bCs/>
          <w:i/>
          <w:iCs/>
          <w:color w:val="C00000"/>
          <w:vertAlign w:val="superscript"/>
        </w:rPr>
        <w:t>1</w:t>
      </w:r>
      <w:r>
        <w:rPr>
          <w:b/>
          <w:bCs/>
          <w:i/>
          <w:iCs/>
          <w:color w:val="C00000"/>
        </w:rPr>
        <w:t>, Dr. Jan Krajewski</w:t>
      </w:r>
      <w:r>
        <w:rPr>
          <w:b/>
          <w:bCs/>
          <w:i/>
          <w:iCs/>
          <w:color w:val="C00000"/>
          <w:vertAlign w:val="superscript"/>
        </w:rPr>
        <w:t>2</w:t>
      </w:r>
      <w:r>
        <w:rPr>
          <w:b/>
          <w:bCs/>
          <w:i/>
          <w:iCs/>
          <w:color w:val="C00000"/>
        </w:rPr>
        <w:t xml:space="preserve">, Dr. Maia </w:t>
      </w:r>
      <w:r>
        <w:rPr>
          <w:b/>
          <w:bCs/>
          <w:i/>
          <w:iCs/>
          <w:color w:val="C00000"/>
        </w:rPr>
        <w:t>Graham</w:t>
      </w:r>
      <w:r>
        <w:rPr>
          <w:b/>
          <w:bCs/>
          <w:i/>
          <w:iCs/>
          <w:color w:val="C00000"/>
          <w:vertAlign w:val="superscript"/>
        </w:rPr>
        <w:t xml:space="preserve">3 </w:t>
      </w:r>
      <w:r>
        <w:rPr>
          <w:i/>
          <w:iCs/>
          <w:color w:val="C00000"/>
        </w:rPr>
        <w:t>University Hospital Liverpool</w:t>
      </w:r>
    </w:p>
    <w:p w14:paraId="00000007">
      <w:pPr>
        <w:spacing w:line="288" w:lineRule="auto"/>
        <w:rPr>
          <w:b/>
          <w:bCs/>
          <w:color w:val="1F3864"/>
          <w:sz w:val="24"/>
          <w:szCs w:val="24"/>
        </w:rPr>
      </w:pPr>
      <w:r>
        <w:rPr>
          <w:b/>
          <w:bCs/>
          <w:color w:val="1F3864"/>
          <w:sz w:val="24"/>
          <w:szCs w:val="24"/>
        </w:rPr>
        <w:t>Abstract</w:t>
      </w:r>
    </w:p>
    <w:p w14:paraId="00000008">
      <w:pPr>
        <w:spacing w:line="288" w:lineRule="auto"/>
        <w:jc w:val="both"/>
      </w:pPr>
      <w:r>
        <w:rPr>
          <w:b/>
          <w:bCs/>
          <w:sz w:val="21"/>
          <w:szCs w:val="21"/>
          <w:lang w:val="en-US"/>
        </w:rPr>
        <w:t xml:space="preserve">Background: </w:t>
      </w:r>
      <w:r>
        <w:rPr>
          <w:lang w:val="en-US"/>
        </w:rPr>
        <w:t xml:space="preserve">Post-intubation tracheal injuries are rare and under-reported. Bouton et al. (2024), </w:t>
      </w:r>
      <w:r>
        <w:rPr>
          <w:color w:val="000000" w:themeColor="text1" w:themeTint="FF"/>
          <w:lang w:val="en-US"/>
          <w14:textFill>
            <w14:solidFill>
              <w14:schemeClr w14:val="tx1">
                <w14:lumMod w14:val="100000"/>
                <w14:lumOff w14:val="0"/>
              </w14:schemeClr>
            </w14:solidFill>
          </w14:textFill>
        </w:rPr>
        <w:t>found</w:t>
      </w:r>
      <w:r>
        <w:rPr>
          <w:color w:val="000000" w:themeColor="text1" w:themeTint="FF"/>
          <w:lang w:val="en-US"/>
          <w14:textFill>
            <w14:solidFill>
              <w14:schemeClr w14:val="tx1">
                <w14:lumMod w14:val="100000"/>
                <w14:lumOff w14:val="0"/>
              </w14:schemeClr>
            </w14:solidFill>
          </w14:textFill>
        </w:rPr>
        <w:t xml:space="preserve"> </w:t>
      </w:r>
      <w:r>
        <w:rPr>
          <w:lang w:val="en-US"/>
        </w:rPr>
        <w:t>airway injuries are recorded more frequently with a stylet than with a bougie, with a mean incidence of 13.4% versus 5.4%, respectively — suggesting that bougies are relatively safer with lower risk of airway trauma. Despite this relative safety profile, tracheal injury remains a recognized complication of intubation</w:t>
      </w:r>
      <w:r>
        <w:rPr>
          <w:color w:val="FF0000"/>
          <w:lang w:val="en-US"/>
        </w:rPr>
        <w:t xml:space="preserve"> </w:t>
      </w:r>
      <w:r>
        <w:rPr>
          <w:color w:val="000000" w:themeColor="text1" w:themeTint="FF"/>
          <w:lang w:val="en-US"/>
          <w14:textFill>
            <w14:solidFill>
              <w14:schemeClr w14:val="tx1">
                <w14:lumMod w14:val="100000"/>
                <w14:lumOff w14:val="0"/>
              </w14:schemeClr>
            </w14:solidFill>
          </w14:textFill>
        </w:rPr>
        <w:t>with adjuncts</w:t>
      </w:r>
      <w:r>
        <w:rPr>
          <w:lang w:val="en-US"/>
        </w:rPr>
        <w:t xml:space="preserve">, and its presentation can be easily overlooked, especially in a postoperative setting. Surgical emphysema around the neck and face is one of the most common leading signs of a possible airway injury; however, when it arises after laparoscopic hiatus hernia repair, it creates a diagnostic </w:t>
      </w:r>
      <w:r>
        <w:rPr>
          <w:color w:val="000000" w:themeColor="text1" w:themeTint="FF"/>
          <w:lang w:val="en-US"/>
          <w14:textFill>
            <w14:solidFill>
              <w14:schemeClr w14:val="tx1">
                <w14:lumMod w14:val="100000"/>
                <w14:lumOff w14:val="0"/>
              </w14:schemeClr>
            </w14:solidFill>
          </w14:textFill>
        </w:rPr>
        <w:t>uncertainty</w:t>
      </w:r>
      <w:r>
        <w:rPr>
          <w:lang w:val="en-US"/>
        </w:rPr>
        <w:t>, as the same finding can be attributed to carbon dioxide insufflation or esophageal instrumentation rather than tracheal trauma. This</w:t>
      </w:r>
      <w:r>
        <w:rPr>
          <w:color w:val="FF0000"/>
          <w:lang w:val="en-US"/>
        </w:rPr>
        <w:t xml:space="preserve"> </w:t>
      </w:r>
      <w:r>
        <w:rPr>
          <w:lang w:val="en-US"/>
        </w:rPr>
        <w:t xml:space="preserve">case </w:t>
      </w:r>
      <w:r>
        <w:rPr>
          <w:color w:val="000000" w:themeColor="text1" w:themeTint="FF"/>
          <w:lang w:val="en-US"/>
          <w14:textFill>
            <w14:solidFill>
              <w14:schemeClr w14:val="tx1">
                <w14:lumMod w14:val="100000"/>
                <w14:lumOff w14:val="0"/>
              </w14:schemeClr>
            </w14:solidFill>
          </w14:textFill>
        </w:rPr>
        <w:t xml:space="preserve">highlights both a rare complication of intubation with Bougie </w:t>
      </w:r>
      <w:r>
        <w:rPr>
          <w:color w:val="000000" w:themeColor="text1" w:themeTint="FF"/>
          <w:lang w:val="en-US"/>
          <w14:textFill>
            <w14:solidFill>
              <w14:schemeClr w14:val="tx1">
                <w14:lumMod w14:val="100000"/>
                <w14:lumOff w14:val="0"/>
              </w14:schemeClr>
            </w14:solidFill>
          </w14:textFill>
        </w:rPr>
        <w:t>and the</w:t>
      </w:r>
      <w:r>
        <w:rPr>
          <w:lang w:val="en-US"/>
        </w:rPr>
        <w:t xml:space="preserve"> challenge of distinguishing intubation-related airway injury from other postoperative causes of subcutaneous emphysema.</w:t>
      </w:r>
    </w:p>
    <w:p w14:paraId="00000009">
      <w:pPr>
        <w:rPr>
          <w:rFonts w:ascii="Arial" w:hAnsi="Arial" w:eastAsia="Arial" w:cs="Arial"/>
          <w:color w:val="222222"/>
          <w:sz w:val="22"/>
          <w:szCs w:val="22"/>
        </w:rPr>
      </w:pPr>
    </w:p>
    <w:p w14:paraId="0000000A">
      <w:pPr>
        <w:spacing w:line="288" w:lineRule="auto"/>
        <w:jc w:val="both"/>
      </w:pPr>
      <w:r>
        <w:rPr>
          <w:b/>
          <w:bCs/>
          <w:sz w:val="21"/>
          <w:szCs w:val="21"/>
          <w:lang w:val="en-US"/>
        </w:rPr>
        <w:t xml:space="preserve">Case presentation: </w:t>
      </w:r>
      <w:r>
        <w:rPr>
          <w:lang w:val="en-US"/>
        </w:rPr>
        <w:t>A 66-year-old man presented for an elective laparoscopic hiatus hernia repair. Orotracheal intubation required bougie assistance because of suboptimal laryngoscopic view</w:t>
      </w:r>
      <w:r>
        <w:rPr>
          <w:color w:val="000000" w:themeColor="text1" w:themeTint="FF"/>
          <w:lang w:val="en-US"/>
          <w14:textFill>
            <w14:solidFill>
              <w14:schemeClr w14:val="tx1">
                <w14:lumMod w14:val="100000"/>
                <w14:lumOff w14:val="0"/>
              </w14:schemeClr>
            </w14:solidFill>
          </w14:textFill>
        </w:rPr>
        <w:t xml:space="preserve"> with video laryngoscopy</w:t>
      </w:r>
      <w:r>
        <w:rPr>
          <w:lang w:val="en-US"/>
        </w:rPr>
        <w:t xml:space="preserve">; the bougie was used in the standard fashion to railroad the tube, and no resistance, desaturation, or blood staining of the device, to suggest injury. After an uneventful surgery, the patient </w:t>
      </w:r>
      <w:r>
        <w:rPr>
          <w:color w:val="000000" w:themeColor="text1" w:themeTint="FF"/>
          <w:lang w:val="en-US"/>
          <w14:textFill>
            <w14:solidFill>
              <w14:schemeClr w14:val="tx1">
                <w14:lumMod w14:val="100000"/>
                <w14:lumOff w14:val="0"/>
              </w14:schemeClr>
            </w14:solidFill>
          </w14:textFill>
        </w:rPr>
        <w:t>had</w:t>
      </w:r>
      <w:r>
        <w:rPr>
          <w:color w:val="FF0000"/>
          <w:lang w:val="en-US"/>
        </w:rPr>
        <w:t xml:space="preserve"> </w:t>
      </w:r>
      <w:r>
        <w:rPr>
          <w:lang w:val="en-US"/>
        </w:rPr>
        <w:t xml:space="preserve">extensive surgical emphysema of the face, neck, and chest wall hence he was kept intubated and sedated overnight for observation. </w:t>
      </w:r>
      <w:r>
        <w:rPr>
          <w:color w:val="000000" w:themeColor="text1" w:themeTint="FF"/>
          <w:lang w:val="en-US"/>
          <w14:textFill>
            <w14:solidFill>
              <w14:schemeClr w14:val="tx1">
                <w14:lumMod w14:val="100000"/>
                <w14:lumOff w14:val="0"/>
              </w14:schemeClr>
            </w14:solidFill>
          </w14:textFill>
        </w:rPr>
        <w:t>He</w:t>
      </w:r>
      <w:r>
        <w:rPr>
          <w:color w:val="000000" w:themeColor="text1" w:themeTint="FF"/>
          <w:lang w:val="en-US"/>
          <w14:textFill>
            <w14:solidFill>
              <w14:schemeClr w14:val="tx1">
                <w14:lumMod w14:val="100000"/>
                <w14:lumOff w14:val="0"/>
              </w14:schemeClr>
            </w14:solidFill>
          </w14:textFill>
        </w:rPr>
        <w:t xml:space="preserve"> </w:t>
      </w:r>
      <w:r>
        <w:rPr>
          <w:lang w:val="en-US"/>
        </w:rPr>
        <w:t xml:space="preserve">was successfully extubated </w:t>
      </w:r>
      <w:r>
        <w:rPr>
          <w:color w:val="000000" w:themeColor="text1" w:themeTint="FF"/>
          <w:lang w:val="en-US"/>
          <w14:textFill>
            <w14:solidFill>
              <w14:schemeClr w14:val="tx1">
                <w14:lumMod w14:val="100000"/>
                <w14:lumOff w14:val="0"/>
              </w14:schemeClr>
            </w14:solidFill>
          </w14:textFill>
        </w:rPr>
        <w:t xml:space="preserve">after 12 hours after a positive leak test with the presumption that </w:t>
      </w:r>
      <w:r>
        <w:rPr>
          <w:color w:val="000000" w:themeColor="text1" w:themeTint="FF"/>
          <w:lang w:val="en-US"/>
          <w14:textFill>
            <w14:solidFill>
              <w14:schemeClr w14:val="tx1">
                <w14:lumMod w14:val="100000"/>
                <w14:lumOff w14:val="0"/>
              </w14:schemeClr>
            </w14:solidFill>
          </w14:textFill>
        </w:rPr>
        <w:t>surgical</w:t>
      </w:r>
      <w:r>
        <w:rPr>
          <w:color w:val="000000" w:themeColor="text1" w:themeTint="FF"/>
          <w:lang w:val="en-US"/>
          <w14:textFill>
            <w14:solidFill>
              <w14:schemeClr w14:val="tx1">
                <w14:lumMod w14:val="100000"/>
                <w14:lumOff w14:val="0"/>
              </w14:schemeClr>
            </w14:solidFill>
          </w14:textFill>
        </w:rPr>
        <w:t xml:space="preserve"> emphysema was due to surgical technique</w:t>
      </w:r>
      <w:r>
        <w:rPr>
          <w:lang w:val="en-US"/>
        </w:rPr>
        <w:t>. Post extubation, the surgical emphysema increased further along the chest</w:t>
      </w:r>
      <w:r>
        <w:rPr>
          <w:color w:val="FF0000"/>
          <w:lang w:val="en-US"/>
        </w:rPr>
        <w:t>,</w:t>
      </w:r>
      <w:r>
        <w:rPr>
          <w:lang w:val="en-US"/>
        </w:rPr>
        <w:t xml:space="preserve"> </w:t>
      </w:r>
      <w:r>
        <w:rPr>
          <w:color w:val="000000" w:themeColor="text1" w:themeTint="FF"/>
          <w:lang w:val="en-US"/>
          <w14:textFill>
            <w14:solidFill>
              <w14:schemeClr w14:val="tx1">
                <w14:lumMod w14:val="100000"/>
                <w14:lumOff w14:val="0"/>
              </w14:schemeClr>
            </w14:solidFill>
          </w14:textFill>
        </w:rPr>
        <w:t>neck</w:t>
      </w:r>
      <w:r>
        <w:rPr>
          <w:color w:val="000000" w:themeColor="text1" w:themeTint="FF"/>
          <w:lang w:val="en-US"/>
          <w14:textFill>
            <w14:solidFill>
              <w14:schemeClr w14:val="tx1">
                <w14:lumMod w14:val="100000"/>
                <w14:lumOff w14:val="0"/>
              </w14:schemeClr>
            </w14:solidFill>
          </w14:textFill>
        </w:rPr>
        <w:t xml:space="preserve"> </w:t>
      </w:r>
      <w:r>
        <w:rPr>
          <w:lang w:val="en-US"/>
        </w:rPr>
        <w:t>and face along with a new hoarseness of the voice prompting the need for further investigation.</w:t>
      </w:r>
    </w:p>
    <w:p w14:paraId="0000000B">
      <w:pPr>
        <w:rPr>
          <w:rFonts w:ascii="Arial" w:hAnsi="Arial" w:eastAsia="Arial" w:cs="Arial"/>
          <w:color w:val="222222"/>
          <w:sz w:val="22"/>
          <w:szCs w:val="22"/>
        </w:rPr>
      </w:pPr>
    </w:p>
    <w:p w14:paraId="0000000D">
      <w:pPr>
        <w:spacing w:line="288" w:lineRule="auto"/>
        <w:jc w:val="both"/>
      </w:pPr>
      <w:r>
        <w:rPr>
          <w:b/>
          <w:bCs/>
          <w:sz w:val="21"/>
          <w:szCs w:val="21"/>
          <w:lang w:val="en-US"/>
        </w:rPr>
        <w:t xml:space="preserve">Investigation: </w:t>
      </w:r>
      <w:r>
        <w:rPr>
          <w:b w:val="0"/>
          <w:bCs w:val="0"/>
          <w:sz w:val="21"/>
          <w:szCs w:val="21"/>
          <w:lang w:val="en-US"/>
        </w:rPr>
        <w:t>A</w:t>
      </w:r>
      <w:r>
        <w:rPr>
          <w:lang w:val="en-US"/>
        </w:rPr>
        <w:t xml:space="preserve"> chest of X-Ray showed pneumomediastinum, along with a rim of lucency around the cardiac border, consistent with a pneumopericardium. Given the temporal relationship to hiatal surgery, oesophageal perforation was considered the leading differential diagnosis. As delayed recognition is associated with substantial morbidity, urgent exclusion was warranted, and a contrast-enhanced CT oesophagram was performed.</w:t>
      </w:r>
      <w:r>
        <w:t xml:space="preserve"> </w:t>
      </w:r>
      <w:bookmarkStart w:id="0" w:name="_GoBack"/>
      <w:bookmarkEnd w:id="0"/>
      <w:r>
        <w:rPr>
          <w:lang w:val="en-US"/>
        </w:rPr>
        <w:t>The study showed no oesophageal leaks. However, it incidentally demonstrated a</w:t>
      </w:r>
      <w:r>
        <w:rPr>
          <w:color w:val="000000" w:themeColor="text1" w:themeTint="FF"/>
          <w:lang w:val="en-US"/>
          <w14:textFill>
            <w14:solidFill>
              <w14:schemeClr w14:val="tx1">
                <w14:lumMod w14:val="100000"/>
                <w14:lumOff w14:val="0"/>
              </w14:schemeClr>
            </w14:solidFill>
          </w14:textFill>
        </w:rPr>
        <w:t xml:space="preserve"> </w:t>
      </w:r>
      <w:r>
        <w:rPr>
          <w:color w:val="000000" w:themeColor="text1" w:themeTint="FF"/>
          <w:lang w:val="en-US"/>
          <w14:textFill>
            <w14:solidFill>
              <w14:schemeClr w14:val="tx1">
                <w14:lumMod w14:val="100000"/>
                <w14:lumOff w14:val="0"/>
              </w14:schemeClr>
            </w14:solidFill>
          </w14:textFill>
        </w:rPr>
        <w:t xml:space="preserve">full </w:t>
      </w:r>
      <w:r>
        <w:rPr>
          <w:color w:val="000000" w:themeColor="text1" w:themeTint="FF"/>
          <w:lang w:val="en-US"/>
          <w14:textFill>
            <w14:solidFill>
              <w14:schemeClr w14:val="tx1">
                <w14:lumMod w14:val="100000"/>
                <w14:lumOff w14:val="0"/>
              </w14:schemeClr>
            </w14:solidFill>
          </w14:textFill>
        </w:rPr>
        <w:t>thickness of</w:t>
      </w:r>
      <w:r>
        <w:rPr>
          <w:color w:val="FF0000"/>
          <w:lang w:val="en-US"/>
        </w:rPr>
        <w:t xml:space="preserve"> </w:t>
      </w:r>
      <w:r>
        <w:rPr>
          <w:lang w:val="en-US"/>
        </w:rPr>
        <w:t>0.5-mm tear of the posterior (membranous) tracheal wall, most consistent with an instrumentation-related injury sustained during the earlier bougie-assisted intubation. At the time of diagnosis, there was no evidence of an expanding air leak, tension physiology, or haemodynamic compromise.</w:t>
      </w:r>
    </w:p>
    <w:p w14:paraId="0000000E">
      <w:pPr>
        <w:rPr>
          <w:rFonts w:ascii="Arial" w:hAnsi="Arial" w:eastAsia="Arial" w:cs="Arial"/>
          <w:color w:val="222222"/>
          <w:sz w:val="22"/>
          <w:szCs w:val="22"/>
        </w:rPr>
      </w:pPr>
    </w:p>
    <w:p w14:paraId="7BDE46F2">
      <w:pPr>
        <w:spacing w:line="288" w:lineRule="auto"/>
        <w:jc w:val="both"/>
        <w:rPr>
          <w:color w:val="5B9BD5" w:themeColor="accent1"/>
          <w14:textFill>
            <w14:solidFill>
              <w14:schemeClr w14:val="accent1"/>
            </w14:solidFill>
          </w14:textFill>
        </w:rPr>
      </w:pPr>
      <w:r>
        <w:rPr>
          <w:b/>
          <w:bCs/>
          <w:sz w:val="21"/>
          <w:szCs w:val="21"/>
          <w:lang w:val="en-US"/>
        </w:rPr>
        <w:t>Management:</w:t>
      </w:r>
      <w:r>
        <w:rPr>
          <w:b/>
          <w:bCs/>
          <w:lang w:val="en-US"/>
        </w:rPr>
        <w:t xml:space="preserve"> </w:t>
      </w:r>
      <w:r>
        <w:rPr>
          <w:lang w:val="en-US"/>
        </w:rPr>
        <w:t>Management followed the general principles of conservative treatment, with close observation of respiratory status and vital signs, supplemental oxygen, avoidance of positive-pressure ventilation where possible, appropriate analgesia, and a low threshold for repeat imaging or bronchoscopy if the patient deteriorated. The rationale for minimising positive airway pressure was mechanical rather than simply being precautionary. A tracheal defect can behave as a one-way valve under positive pressure, exacerbating the surgical emphysema and pnemo-mediastinum.  Therefore, spontaneous ventilation was favoured wherever permitted. Thoracic surgery and ENT input were sought to characterise this tear further and help guide further management. A collective decision was taken not to opt for surgical intervention. The patient improved with conservative management and was eventually discharged from the hospital</w:t>
      </w:r>
      <w:r>
        <w:rPr>
          <w:color w:val="000000" w:themeColor="text1" w:themeTint="FF"/>
          <w:lang w:val="en-US"/>
          <w14:textFill>
            <w14:solidFill>
              <w14:schemeClr w14:val="tx1">
                <w14:lumMod w14:val="100000"/>
                <w14:lumOff w14:val="0"/>
              </w14:schemeClr>
            </w14:solidFill>
          </w14:textFill>
        </w:rPr>
        <w:t xml:space="preserve"> </w:t>
      </w:r>
      <w:r>
        <w:rPr>
          <w:color w:val="000000" w:themeColor="text1" w:themeTint="FF"/>
          <w:lang w:val="en-US"/>
          <w14:textFill>
            <w14:solidFill>
              <w14:schemeClr w14:val="tx1">
                <w14:lumMod w14:val="100000"/>
                <w14:lumOff w14:val="0"/>
              </w14:schemeClr>
            </w14:solidFill>
          </w14:textFill>
        </w:rPr>
        <w:t>once the hoarseness had dissipated</w:t>
      </w:r>
    </w:p>
    <w:p w14:paraId="00000010">
      <w:pPr>
        <w:rPr>
          <w:rFonts w:ascii="Arial" w:hAnsi="Arial" w:eastAsia="Arial" w:cs="Arial"/>
          <w:color w:val="222222"/>
          <w:sz w:val="22"/>
          <w:szCs w:val="22"/>
        </w:rPr>
      </w:pPr>
    </w:p>
    <w:p w14:paraId="00000012">
      <w:pPr>
        <w:spacing w:line="288" w:lineRule="auto"/>
        <w:jc w:val="both"/>
      </w:pPr>
      <w:r>
        <w:rPr>
          <w:b/>
          <w:bCs/>
          <w:lang w:val="en-US"/>
        </w:rPr>
        <w:t xml:space="preserve">Conclusion: </w:t>
      </w:r>
      <w:r>
        <w:rPr>
          <w:b w:val="0"/>
          <w:bCs w:val="0"/>
          <w:lang w:val="en-US"/>
        </w:rPr>
        <w:t>Hoarseness of voice may be late presenting symptom of an airway injury and can be easily overlooked in the postoperative setting, particularly following upper gastrointestinal surgery, thereby masking the underlying injury</w:t>
      </w:r>
      <w:r>
        <w:rPr>
          <w:b/>
          <w:bCs/>
          <w:lang w:val="en-US"/>
        </w:rPr>
        <w:t xml:space="preserve">. </w:t>
      </w:r>
      <w:r>
        <w:rPr>
          <w:lang w:val="en-US"/>
        </w:rPr>
        <w:t xml:space="preserve">Progressive surgical emphysema with new mediastinal or pericardial air after intubation should prompt consideration of tracheobronchial injury alongside the more instinctively suspected oesophageal perforation. Dedicated airway imaging or bronchoscopy should be considered even when an oesophageal contrast study is unremarkable. </w:t>
      </w:r>
    </w:p>
    <w:p w14:paraId="0DD0965D">
      <w:pPr>
        <w:rPr>
          <w:sz w:val="34"/>
          <w:szCs w:val="3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Symbol">
    <w:altName w:val="Kingsoft Sign"/>
    <w:panose1 w:val="05050102010706020507"/>
    <w:charset w:val="02"/>
    <w:family w:val="roman"/>
    <w:pitch w:val="default"/>
    <w:sig w:usb0="00000000" w:usb1="00000000" w:usb2="00000000" w:usb3="00000000" w:csb0="80000000"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Georgia">
    <w:panose1 w:val="02040502050405020303"/>
    <w:charset w:val="00"/>
    <w:family w:val="auto"/>
    <w:pitch w:val="default"/>
    <w:sig w:usb0="00000000" w:usb1="00000000" w:usb2="00000000" w:usb3="00000000" w:csb0="00000000" w:csb1="00000000"/>
  </w:font>
  <w:font w:name="Noto Sans Symbols">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Calibri" w:cs="Calibri"/>
      <w:sz w:val="21"/>
      <w:szCs w:val="22"/>
      <w:lang w:val="en" w:eastAsia="en-GB"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2026-09-16T22:11:00Z</dcterms:created>
  <dc:creator>iPhone</dc:creator>
  <cp:lastModifiedBy>iPhone</cp:lastModifiedBy>
  <dcterms:modified xsi:type="dcterms:W3CDTF">2026-09-16T22:14:51Z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3081-26.7.1</vt:lpwstr>
  </property>
  <property fmtid="{D5CDD505-2E9C-101B-9397-08002B2CF9AE}" pid="3" name="ICV">
    <vt:lpwstr>FC2F1E882C1132A7E405AB6AC0E11D60_31</vt:lpwstr>
  </property>
</Properties>
</file>