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A13E97" w14:textId="03C652BC" w:rsidR="008D1A49" w:rsidRPr="00121C4B" w:rsidRDefault="008D1A49" w:rsidP="008D1A49">
      <w:pPr>
        <w:spacing w:before="100" w:beforeAutospacing="1" w:after="100" w:afterAutospacing="1" w:line="240" w:lineRule="auto"/>
        <w:ind w:firstLine="0"/>
        <w:jc w:val="center"/>
        <w:rPr>
          <w:rFonts w:ascii="Times New Roman" w:hAnsi="Times New Roman" w:cs="Times New Roman"/>
          <w:b/>
          <w:bCs/>
          <w:sz w:val="28"/>
          <w:szCs w:val="24"/>
        </w:rPr>
      </w:pPr>
      <w:r w:rsidRPr="00121C4B">
        <w:rPr>
          <w:rFonts w:ascii="Times New Roman" w:hAnsi="Times New Roman" w:cs="Times New Roman"/>
          <w:b/>
          <w:bCs/>
          <w:sz w:val="28"/>
          <w:szCs w:val="24"/>
        </w:rPr>
        <w:t>"</w:t>
      </w:r>
      <w:r w:rsidR="00AF7F2E" w:rsidRPr="00121C4B">
        <w:rPr>
          <w:rFonts w:ascii="Times New Roman" w:hAnsi="Times New Roman" w:cs="Times New Roman"/>
          <w:b/>
          <w:bCs/>
          <w:sz w:val="28"/>
          <w:szCs w:val="24"/>
        </w:rPr>
        <w:t>From Fatality</w:t>
      </w:r>
      <w:r w:rsidR="00AF7F2E">
        <w:rPr>
          <w:rFonts w:ascii="Times New Roman" w:hAnsi="Times New Roman" w:cs="Times New Roman"/>
          <w:b/>
          <w:bCs/>
          <w:sz w:val="28"/>
          <w:szCs w:val="24"/>
        </w:rPr>
        <w:t xml:space="preserve"> To Fighting Chance: Role Of GIK</w:t>
      </w:r>
      <w:r w:rsidR="00AF7F2E" w:rsidRPr="00121C4B">
        <w:rPr>
          <w:rFonts w:ascii="Times New Roman" w:hAnsi="Times New Roman" w:cs="Times New Roman"/>
          <w:b/>
          <w:bCs/>
          <w:sz w:val="28"/>
          <w:szCs w:val="24"/>
        </w:rPr>
        <w:t xml:space="preserve"> Therapy In Aluminium Phosphide Poisoning</w:t>
      </w:r>
      <w:r w:rsidRPr="00121C4B">
        <w:rPr>
          <w:rFonts w:ascii="Times New Roman" w:hAnsi="Times New Roman" w:cs="Times New Roman"/>
          <w:b/>
          <w:bCs/>
          <w:sz w:val="28"/>
          <w:szCs w:val="24"/>
        </w:rPr>
        <w:t>"</w:t>
      </w:r>
    </w:p>
    <w:p w14:paraId="44B88B2D" w14:textId="68440526" w:rsidR="00AF7F2E" w:rsidRDefault="00AF7F2E" w:rsidP="00AF7F2E">
      <w:pPr>
        <w:spacing w:after="0" w:line="240" w:lineRule="auto"/>
        <w:ind w:left="253" w:right="264"/>
        <w:jc w:val="center"/>
        <w:rPr>
          <w:rFonts w:ascii="Times New Roman" w:hAnsi="Times New Roman"/>
          <w:spacing w:val="-1"/>
        </w:rPr>
      </w:pPr>
      <w:r>
        <w:rPr>
          <w:rFonts w:ascii="Times New Roman" w:hAnsi="Times New Roman"/>
          <w:spacing w:val="-1"/>
        </w:rPr>
        <w:t>Author</w:t>
      </w:r>
      <w:r>
        <w:rPr>
          <w:rFonts w:ascii="Times New Roman" w:hAnsi="Times New Roman"/>
          <w:spacing w:val="3"/>
        </w:rPr>
        <w:t xml:space="preserve"> </w:t>
      </w:r>
      <w:r>
        <w:rPr>
          <w:rFonts w:ascii="Times New Roman" w:hAnsi="Times New Roman"/>
          <w:spacing w:val="-2"/>
        </w:rPr>
        <w:t xml:space="preserve">names: </w:t>
      </w:r>
      <w:r w:rsidRPr="001C6428">
        <w:rPr>
          <w:rFonts w:ascii="Times New Roman" w:hAnsi="Times New Roman"/>
          <w:b/>
          <w:spacing w:val="-2"/>
          <w:u w:val="single"/>
        </w:rPr>
        <w:t>Dr. Deepak Kumar</w:t>
      </w:r>
      <w:r>
        <w:rPr>
          <w:rFonts w:ascii="Times New Roman" w:hAnsi="Times New Roman"/>
          <w:spacing w:val="-2"/>
        </w:rPr>
        <w:t>,</w:t>
      </w:r>
      <w:r>
        <w:rPr>
          <w:rFonts w:ascii="Times New Roman" w:hAnsi="Times New Roman"/>
          <w:spacing w:val="-1"/>
          <w:position w:val="11"/>
          <w:sz w:val="16"/>
        </w:rPr>
        <w:t xml:space="preserve">*  </w:t>
      </w:r>
      <w:r>
        <w:rPr>
          <w:rFonts w:ascii="Times New Roman" w:hAnsi="Times New Roman"/>
          <w:spacing w:val="-1"/>
        </w:rPr>
        <w:t>Dr. D Bhushan, Dr. S Kumar</w:t>
      </w:r>
    </w:p>
    <w:p w14:paraId="1259DF7D" w14:textId="539C7D1D" w:rsidR="00AF7F2E" w:rsidRDefault="00AF7F2E" w:rsidP="00AF7F2E">
      <w:pPr>
        <w:spacing w:after="0" w:line="240" w:lineRule="auto"/>
        <w:ind w:left="253" w:right="264"/>
        <w:jc w:val="center"/>
        <w:rPr>
          <w:rFonts w:ascii="Times New Roman" w:hAnsi="Times New Roman"/>
        </w:rPr>
      </w:pPr>
      <w:r>
        <w:rPr>
          <w:rFonts w:ascii="Times New Roman" w:hAnsi="Times New Roman"/>
          <w:spacing w:val="-1"/>
        </w:rPr>
        <w:t>Address</w:t>
      </w:r>
      <w:r>
        <w:rPr>
          <w:rFonts w:ascii="Times New Roman" w:hAnsi="Times New Roman"/>
        </w:rPr>
        <w:t xml:space="preserve"> </w:t>
      </w:r>
      <w:r>
        <w:rPr>
          <w:rFonts w:ascii="Times New Roman" w:hAnsi="Times New Roman"/>
          <w:spacing w:val="2"/>
        </w:rPr>
        <w:t>of</w:t>
      </w:r>
      <w:r>
        <w:rPr>
          <w:rFonts w:ascii="Times New Roman" w:hAnsi="Times New Roman"/>
          <w:spacing w:val="-6"/>
        </w:rPr>
        <w:t xml:space="preserve"> </w:t>
      </w:r>
      <w:r>
        <w:rPr>
          <w:rFonts w:ascii="Times New Roman" w:hAnsi="Times New Roman"/>
        </w:rPr>
        <w:t>the</w:t>
      </w:r>
      <w:r>
        <w:rPr>
          <w:rFonts w:ascii="Times New Roman" w:hAnsi="Times New Roman"/>
          <w:spacing w:val="1"/>
        </w:rPr>
        <w:t xml:space="preserve"> </w:t>
      </w:r>
      <w:r>
        <w:rPr>
          <w:rFonts w:ascii="Times New Roman" w:hAnsi="Times New Roman"/>
          <w:spacing w:val="-1"/>
        </w:rPr>
        <w:t>Institution</w:t>
      </w:r>
      <w:r>
        <w:rPr>
          <w:rFonts w:ascii="Times New Roman" w:hAnsi="Times New Roman"/>
        </w:rPr>
        <w:t xml:space="preserve">: All India Institute of Medical Sciences, Patna, Bihar, </w:t>
      </w:r>
      <w:r w:rsidRPr="001C6428">
        <w:rPr>
          <w:rFonts w:ascii="Times New Roman" w:hAnsi="Times New Roman"/>
          <w:b/>
        </w:rPr>
        <w:t>India</w:t>
      </w:r>
      <w:r>
        <w:rPr>
          <w:rFonts w:ascii="Times New Roman" w:hAnsi="Times New Roman"/>
        </w:rPr>
        <w:t xml:space="preserve"> 801507</w:t>
      </w:r>
    </w:p>
    <w:p w14:paraId="69D5CA24" w14:textId="534FBD51" w:rsidR="008D1A49" w:rsidRPr="00AF7F2E" w:rsidRDefault="00AF7F2E" w:rsidP="00AF7F2E">
      <w:pPr>
        <w:spacing w:after="0" w:line="240" w:lineRule="auto"/>
        <w:ind w:left="253" w:right="264"/>
        <w:jc w:val="center"/>
        <w:rPr>
          <w:rFonts w:ascii="Times New Roman" w:hAnsi="Times New Roman"/>
          <w:spacing w:val="-1"/>
          <w:position w:val="11"/>
          <w:sz w:val="16"/>
        </w:rPr>
      </w:pPr>
      <w:r>
        <w:rPr>
          <w:rFonts w:ascii="Times New Roman" w:hAnsi="Times New Roman"/>
          <w:spacing w:val="-1"/>
        </w:rPr>
        <w:t>E-mail</w:t>
      </w:r>
      <w:r>
        <w:rPr>
          <w:rFonts w:ascii="Times New Roman" w:hAnsi="Times New Roman"/>
          <w:spacing w:val="-3"/>
        </w:rPr>
        <w:t xml:space="preserve"> </w:t>
      </w:r>
      <w:r>
        <w:rPr>
          <w:rFonts w:ascii="Times New Roman" w:hAnsi="Times New Roman"/>
          <w:spacing w:val="2"/>
        </w:rPr>
        <w:t>of</w:t>
      </w:r>
      <w:r>
        <w:rPr>
          <w:rFonts w:ascii="Times New Roman" w:hAnsi="Times New Roman"/>
          <w:spacing w:val="-6"/>
        </w:rPr>
        <w:t xml:space="preserve"> </w:t>
      </w:r>
      <w:r>
        <w:rPr>
          <w:rFonts w:ascii="Times New Roman" w:hAnsi="Times New Roman"/>
          <w:spacing w:val="-1"/>
        </w:rPr>
        <w:t>corresponding</w:t>
      </w:r>
      <w:r>
        <w:rPr>
          <w:rFonts w:ascii="Times New Roman" w:hAnsi="Times New Roman"/>
          <w:spacing w:val="2"/>
        </w:rPr>
        <w:t xml:space="preserve"> </w:t>
      </w:r>
      <w:r>
        <w:rPr>
          <w:rFonts w:ascii="Times New Roman" w:hAnsi="Times New Roman"/>
        </w:rPr>
        <w:t>author: dr.deepak11706@aiimspatna.org</w:t>
      </w:r>
      <w:bookmarkStart w:id="0" w:name="_GoBack"/>
      <w:bookmarkEnd w:id="0"/>
    </w:p>
    <w:p w14:paraId="2E2B2CD9" w14:textId="77777777" w:rsidR="00595B21" w:rsidRDefault="00595B21" w:rsidP="00AF7F2E">
      <w:pPr>
        <w:spacing w:before="100" w:beforeAutospacing="1" w:after="100" w:afterAutospacing="1" w:line="240" w:lineRule="auto"/>
        <w:ind w:firstLine="0"/>
        <w:jc w:val="both"/>
        <w:rPr>
          <w:rFonts w:ascii="Times New Roman" w:eastAsia="Times New Roman" w:hAnsi="Times New Roman" w:cs="Times New Roman"/>
          <w:b/>
          <w:bCs/>
          <w:sz w:val="24"/>
          <w:szCs w:val="24"/>
          <w:lang w:eastAsia="en-GB"/>
        </w:rPr>
      </w:pPr>
    </w:p>
    <w:p w14:paraId="7521EA7C" w14:textId="77777777" w:rsidR="00595B21" w:rsidRDefault="00595B21" w:rsidP="00AF7F2E">
      <w:pPr>
        <w:spacing w:before="100" w:beforeAutospacing="1" w:after="100" w:afterAutospacing="1" w:line="240" w:lineRule="auto"/>
        <w:ind w:firstLine="0"/>
        <w:jc w:val="both"/>
        <w:rPr>
          <w:rFonts w:ascii="Times New Roman" w:eastAsia="Times New Roman" w:hAnsi="Times New Roman" w:cs="Times New Roman"/>
          <w:b/>
          <w:bCs/>
          <w:sz w:val="24"/>
          <w:szCs w:val="24"/>
          <w:lang w:eastAsia="en-GB"/>
        </w:rPr>
        <w:sectPr w:rsidR="00595B21">
          <w:pgSz w:w="11906" w:h="16838"/>
          <w:pgMar w:top="1440" w:right="1440" w:bottom="1440" w:left="1440" w:header="708" w:footer="708" w:gutter="0"/>
          <w:cols w:space="708"/>
          <w:docGrid w:linePitch="360"/>
        </w:sectPr>
      </w:pPr>
    </w:p>
    <w:p w14:paraId="3FBC1FF2" w14:textId="29C60E9C" w:rsidR="008D1A49" w:rsidRPr="00121C4B" w:rsidRDefault="008D1A49" w:rsidP="00AF7F2E">
      <w:pPr>
        <w:spacing w:before="100" w:beforeAutospacing="1" w:after="100" w:afterAutospacing="1" w:line="240" w:lineRule="auto"/>
        <w:ind w:firstLine="0"/>
        <w:jc w:val="both"/>
        <w:rPr>
          <w:rFonts w:ascii="Times New Roman" w:eastAsia="Times New Roman" w:hAnsi="Times New Roman" w:cs="Times New Roman"/>
          <w:sz w:val="24"/>
          <w:szCs w:val="24"/>
          <w:lang w:eastAsia="en-GB"/>
        </w:rPr>
      </w:pPr>
      <w:r w:rsidRPr="00121C4B">
        <w:rPr>
          <w:rFonts w:ascii="Times New Roman" w:eastAsia="Times New Roman" w:hAnsi="Times New Roman" w:cs="Times New Roman"/>
          <w:b/>
          <w:bCs/>
          <w:sz w:val="24"/>
          <w:szCs w:val="24"/>
          <w:lang w:eastAsia="en-GB"/>
        </w:rPr>
        <w:t>Background</w:t>
      </w:r>
      <w:r w:rsidR="00AF7F2E">
        <w:rPr>
          <w:rFonts w:ascii="Times New Roman" w:eastAsia="Times New Roman" w:hAnsi="Times New Roman" w:cs="Times New Roman"/>
          <w:b/>
          <w:bCs/>
          <w:sz w:val="24"/>
          <w:szCs w:val="24"/>
          <w:lang w:eastAsia="en-GB"/>
        </w:rPr>
        <w:t>:</w:t>
      </w:r>
      <w:r w:rsidR="00AF7F2E">
        <w:rPr>
          <w:rFonts w:ascii="Times New Roman" w:eastAsia="Times New Roman" w:hAnsi="Times New Roman" w:cs="Times New Roman"/>
          <w:sz w:val="24"/>
          <w:szCs w:val="24"/>
          <w:lang w:eastAsia="en-GB"/>
        </w:rPr>
        <w:t xml:space="preserve"> </w:t>
      </w:r>
      <w:r w:rsidRPr="00121C4B">
        <w:rPr>
          <w:rFonts w:ascii="Times New Roman" w:eastAsia="Times New Roman" w:hAnsi="Times New Roman" w:cs="Times New Roman"/>
          <w:sz w:val="24"/>
          <w:szCs w:val="24"/>
          <w:lang w:eastAsia="en-GB"/>
        </w:rPr>
        <w:t>Aluminium phosphide (celphos) poisoning is a common cause of acute pesticide poisoning in South Asia, associated with high mortality due to cardiovascular collapse and metabolic disturbances. Various treatment strategies have been explored, with Glucose-Insulin-Potassium (GIK) regimen emerging as a pote</w:t>
      </w:r>
      <w:r w:rsidR="00AF7F2E">
        <w:rPr>
          <w:rFonts w:ascii="Times New Roman" w:eastAsia="Times New Roman" w:hAnsi="Times New Roman" w:cs="Times New Roman"/>
          <w:sz w:val="24"/>
          <w:szCs w:val="24"/>
          <w:lang w:eastAsia="en-GB"/>
        </w:rPr>
        <w:t>ntial therapeutic intervention.</w:t>
      </w:r>
    </w:p>
    <w:p w14:paraId="16B1CED5" w14:textId="5EA4E8C6" w:rsidR="008D1A49" w:rsidRPr="00121C4B" w:rsidRDefault="008D1A49" w:rsidP="00AF7F2E">
      <w:pPr>
        <w:spacing w:before="100" w:beforeAutospacing="1" w:after="100" w:afterAutospacing="1" w:line="240" w:lineRule="auto"/>
        <w:ind w:firstLine="0"/>
        <w:jc w:val="both"/>
        <w:rPr>
          <w:rFonts w:ascii="Times New Roman" w:eastAsia="Times New Roman" w:hAnsi="Times New Roman" w:cs="Times New Roman"/>
          <w:sz w:val="24"/>
          <w:szCs w:val="24"/>
          <w:lang w:eastAsia="en-GB"/>
        </w:rPr>
      </w:pPr>
      <w:r w:rsidRPr="00121C4B">
        <w:rPr>
          <w:rFonts w:ascii="Times New Roman" w:hAnsi="Times New Roman" w:cs="Times New Roman"/>
          <w:b/>
          <w:bCs/>
          <w:sz w:val="24"/>
          <w:szCs w:val="24"/>
        </w:rPr>
        <w:t>Objectives</w:t>
      </w:r>
      <w:r w:rsidR="00AF7F2E">
        <w:rPr>
          <w:rFonts w:ascii="Times New Roman" w:hAnsi="Times New Roman" w:cs="Times New Roman"/>
          <w:sz w:val="24"/>
          <w:szCs w:val="24"/>
        </w:rPr>
        <w:t xml:space="preserve">: </w:t>
      </w:r>
      <w:r w:rsidRPr="00121C4B">
        <w:rPr>
          <w:rFonts w:ascii="Times New Roman" w:hAnsi="Times New Roman" w:cs="Times New Roman"/>
          <w:sz w:val="24"/>
          <w:szCs w:val="24"/>
        </w:rPr>
        <w:t>To evaluate the clinical profile, prognostic indicators</w:t>
      </w:r>
      <w:r w:rsidR="00F74304" w:rsidRPr="00121C4B">
        <w:rPr>
          <w:rFonts w:ascii="Times New Roman" w:hAnsi="Times New Roman" w:cs="Times New Roman"/>
          <w:sz w:val="24"/>
          <w:szCs w:val="24"/>
        </w:rPr>
        <w:t xml:space="preserve"> like initial </w:t>
      </w:r>
      <w:r w:rsidR="00121C4B" w:rsidRPr="00121C4B">
        <w:rPr>
          <w:rFonts w:ascii="Times New Roman" w:hAnsi="Times New Roman" w:cs="Times New Roman"/>
          <w:sz w:val="24"/>
          <w:szCs w:val="24"/>
        </w:rPr>
        <w:t>Glucose</w:t>
      </w:r>
      <w:r w:rsidR="00F74304" w:rsidRPr="00121C4B">
        <w:rPr>
          <w:rFonts w:ascii="Times New Roman" w:hAnsi="Times New Roman" w:cs="Times New Roman"/>
          <w:sz w:val="24"/>
          <w:szCs w:val="24"/>
        </w:rPr>
        <w:t xml:space="preserve"> Potassium ratio</w:t>
      </w:r>
      <w:r w:rsidRPr="00121C4B">
        <w:rPr>
          <w:rFonts w:ascii="Times New Roman" w:hAnsi="Times New Roman" w:cs="Times New Roman"/>
          <w:sz w:val="24"/>
          <w:szCs w:val="24"/>
        </w:rPr>
        <w:t>, and the impact of Glucose-Insulin-Potassium (GIK) therapy on outcomes in patients with aluminium phosphide poisoning.</w:t>
      </w:r>
    </w:p>
    <w:p w14:paraId="2F226746" w14:textId="161D4FE7" w:rsidR="008D1A49" w:rsidRPr="00121C4B" w:rsidRDefault="008D1A49" w:rsidP="00AF7F2E">
      <w:pPr>
        <w:spacing w:before="100" w:beforeAutospacing="1" w:after="100" w:afterAutospacing="1" w:line="240" w:lineRule="auto"/>
        <w:ind w:firstLine="0"/>
        <w:jc w:val="both"/>
        <w:rPr>
          <w:rFonts w:ascii="Times New Roman" w:eastAsia="Times New Roman" w:hAnsi="Times New Roman" w:cs="Times New Roman"/>
          <w:sz w:val="24"/>
          <w:szCs w:val="24"/>
          <w:lang w:eastAsia="en-GB"/>
        </w:rPr>
      </w:pPr>
      <w:r w:rsidRPr="00121C4B">
        <w:rPr>
          <w:rFonts w:ascii="Times New Roman" w:eastAsia="Times New Roman" w:hAnsi="Times New Roman" w:cs="Times New Roman"/>
          <w:b/>
          <w:bCs/>
          <w:sz w:val="24"/>
          <w:szCs w:val="24"/>
          <w:lang w:eastAsia="en-GB"/>
        </w:rPr>
        <w:t>Methods</w:t>
      </w:r>
      <w:r w:rsidR="00AF7F2E">
        <w:rPr>
          <w:rFonts w:ascii="Times New Roman" w:eastAsia="Times New Roman" w:hAnsi="Times New Roman" w:cs="Times New Roman"/>
          <w:sz w:val="24"/>
          <w:szCs w:val="24"/>
          <w:lang w:eastAsia="en-GB"/>
        </w:rPr>
        <w:t xml:space="preserve">: </w:t>
      </w:r>
      <w:r w:rsidRPr="00121C4B">
        <w:rPr>
          <w:rFonts w:ascii="Times New Roman" w:eastAsia="Times New Roman" w:hAnsi="Times New Roman" w:cs="Times New Roman"/>
          <w:sz w:val="24"/>
          <w:szCs w:val="24"/>
          <w:lang w:eastAsia="en-GB"/>
        </w:rPr>
        <w:t>A retrospective observational study was conducted including 21 patients with confirmed celphos poisoning. Demographic data, clinical parameters (REMS score, MAP, serum potassium, lactate, glucose/potassium ratio), and treatment details were collected. Patients were categorized based on survival outcome (discharged vs. died). Chi-square test, Fisher’s exact test, and independent sample t-tests were used to assess associations between treatment variables and outcomes.</w:t>
      </w:r>
    </w:p>
    <w:p w14:paraId="55E0B288" w14:textId="41B89153" w:rsidR="008D1A49" w:rsidRPr="00121C4B" w:rsidRDefault="008D1A49" w:rsidP="00AF7F2E">
      <w:pPr>
        <w:spacing w:before="100" w:beforeAutospacing="1" w:after="100" w:afterAutospacing="1" w:line="240" w:lineRule="auto"/>
        <w:ind w:firstLine="0"/>
        <w:jc w:val="both"/>
        <w:rPr>
          <w:rFonts w:ascii="Times New Roman" w:eastAsia="Times New Roman" w:hAnsi="Times New Roman" w:cs="Times New Roman"/>
          <w:sz w:val="24"/>
          <w:szCs w:val="24"/>
          <w:lang w:eastAsia="en-GB"/>
        </w:rPr>
      </w:pPr>
      <w:r w:rsidRPr="00121C4B">
        <w:rPr>
          <w:rFonts w:ascii="Times New Roman" w:eastAsia="Times New Roman" w:hAnsi="Times New Roman" w:cs="Times New Roman"/>
          <w:b/>
          <w:bCs/>
          <w:sz w:val="24"/>
          <w:szCs w:val="24"/>
          <w:lang w:eastAsia="en-GB"/>
        </w:rPr>
        <w:t>Results</w:t>
      </w:r>
      <w:r w:rsidR="00AF7F2E">
        <w:rPr>
          <w:rFonts w:ascii="Times New Roman" w:eastAsia="Times New Roman" w:hAnsi="Times New Roman" w:cs="Times New Roman"/>
          <w:sz w:val="24"/>
          <w:szCs w:val="24"/>
          <w:lang w:eastAsia="en-GB"/>
        </w:rPr>
        <w:t xml:space="preserve">: </w:t>
      </w:r>
      <w:r w:rsidRPr="00121C4B">
        <w:rPr>
          <w:rFonts w:ascii="Times New Roman" w:eastAsia="Times New Roman" w:hAnsi="Times New Roman" w:cs="Times New Roman"/>
          <w:sz w:val="24"/>
          <w:szCs w:val="24"/>
          <w:lang w:eastAsia="en-GB"/>
        </w:rPr>
        <w:t xml:space="preserve">The mean age of patients was 34.5 years, with male predominance (85.7%). Mortality was observed in 47.6% (n=10). Administration of GIK regimen significantly improved survival (80% discharged vs. 20% mortality; </w:t>
      </w:r>
      <w:r w:rsidRPr="00121C4B">
        <w:rPr>
          <w:rFonts w:ascii="Times New Roman" w:eastAsia="Times New Roman" w:hAnsi="Times New Roman" w:cs="Times New Roman"/>
          <w:i/>
          <w:iCs/>
          <w:sz w:val="24"/>
          <w:szCs w:val="24"/>
          <w:lang w:eastAsia="en-GB"/>
        </w:rPr>
        <w:t>p</w:t>
      </w:r>
      <w:r w:rsidRPr="00121C4B">
        <w:rPr>
          <w:rFonts w:ascii="Times New Roman" w:eastAsia="Times New Roman" w:hAnsi="Times New Roman" w:cs="Times New Roman"/>
          <w:sz w:val="24"/>
          <w:szCs w:val="24"/>
          <w:lang w:eastAsia="en-GB"/>
        </w:rPr>
        <w:t xml:space="preserve"> = 0.03). Early initiation of GIK (≤3 hours post-ingestion) showed higher survival (87.5%), though not statistically significant (</w:t>
      </w:r>
      <w:r w:rsidRPr="00121C4B">
        <w:rPr>
          <w:rFonts w:ascii="Times New Roman" w:eastAsia="Times New Roman" w:hAnsi="Times New Roman" w:cs="Times New Roman"/>
          <w:i/>
          <w:iCs/>
          <w:sz w:val="24"/>
          <w:szCs w:val="24"/>
          <w:lang w:eastAsia="en-GB"/>
        </w:rPr>
        <w:t>p</w:t>
      </w:r>
      <w:r w:rsidRPr="00121C4B">
        <w:rPr>
          <w:rFonts w:ascii="Times New Roman" w:eastAsia="Times New Roman" w:hAnsi="Times New Roman" w:cs="Times New Roman"/>
          <w:sz w:val="24"/>
          <w:szCs w:val="24"/>
          <w:lang w:eastAsia="en-GB"/>
        </w:rPr>
        <w:t xml:space="preserve"> = </w:t>
      </w:r>
      <w:r w:rsidRPr="00121C4B">
        <w:rPr>
          <w:rFonts w:ascii="Times New Roman" w:eastAsia="Times New Roman" w:hAnsi="Times New Roman" w:cs="Times New Roman"/>
          <w:sz w:val="24"/>
          <w:szCs w:val="24"/>
          <w:lang w:eastAsia="en-GB"/>
        </w:rPr>
        <w:t xml:space="preserve">0.378). Mean REMS score was significantly higher among non-survivors (9.8) compared to survivors (1.64, </w:t>
      </w:r>
      <w:r w:rsidRPr="00121C4B">
        <w:rPr>
          <w:rFonts w:ascii="Times New Roman" w:eastAsia="Times New Roman" w:hAnsi="Times New Roman" w:cs="Times New Roman"/>
          <w:i/>
          <w:iCs/>
          <w:sz w:val="24"/>
          <w:szCs w:val="24"/>
          <w:lang w:eastAsia="en-GB"/>
        </w:rPr>
        <w:t>p</w:t>
      </w:r>
      <w:r w:rsidRPr="00121C4B">
        <w:rPr>
          <w:rFonts w:ascii="Times New Roman" w:eastAsia="Times New Roman" w:hAnsi="Times New Roman" w:cs="Times New Roman"/>
          <w:sz w:val="24"/>
          <w:szCs w:val="24"/>
          <w:lang w:eastAsia="en-GB"/>
        </w:rPr>
        <w:t xml:space="preserve"> &lt; 0.001). Lower MAP at admission was associated with poorer outcomes, though not statistically significant (</w:t>
      </w:r>
      <w:r w:rsidRPr="00121C4B">
        <w:rPr>
          <w:rFonts w:ascii="Times New Roman" w:eastAsia="Times New Roman" w:hAnsi="Times New Roman" w:cs="Times New Roman"/>
          <w:i/>
          <w:iCs/>
          <w:sz w:val="24"/>
          <w:szCs w:val="24"/>
          <w:lang w:eastAsia="en-GB"/>
        </w:rPr>
        <w:t>p</w:t>
      </w:r>
      <w:r w:rsidRPr="00121C4B">
        <w:rPr>
          <w:rFonts w:ascii="Times New Roman" w:eastAsia="Times New Roman" w:hAnsi="Times New Roman" w:cs="Times New Roman"/>
          <w:sz w:val="24"/>
          <w:szCs w:val="24"/>
          <w:lang w:eastAsia="en-GB"/>
        </w:rPr>
        <w:t xml:space="preserve"> = 0.119). No significant differences were observed in initial glucose/potassium ratio between groups</w:t>
      </w:r>
      <w:r w:rsidR="00F74304" w:rsidRPr="00121C4B">
        <w:rPr>
          <w:rFonts w:ascii="Times New Roman" w:eastAsia="Times New Roman" w:hAnsi="Times New Roman" w:cs="Times New Roman"/>
          <w:sz w:val="24"/>
          <w:szCs w:val="24"/>
          <w:lang w:eastAsia="en-GB"/>
        </w:rPr>
        <w:t xml:space="preserve"> as further study with a more sample size is required. </w:t>
      </w:r>
    </w:p>
    <w:p w14:paraId="07722904" w14:textId="115E833D" w:rsidR="008D1A49" w:rsidRPr="00121C4B" w:rsidRDefault="008D1A49" w:rsidP="00AF7F2E">
      <w:pPr>
        <w:spacing w:before="100" w:beforeAutospacing="1" w:after="100" w:afterAutospacing="1" w:line="240" w:lineRule="auto"/>
        <w:ind w:firstLine="0"/>
        <w:jc w:val="both"/>
        <w:rPr>
          <w:rFonts w:ascii="Times New Roman" w:eastAsia="Times New Roman" w:hAnsi="Times New Roman" w:cs="Times New Roman"/>
          <w:sz w:val="24"/>
          <w:szCs w:val="24"/>
          <w:lang w:eastAsia="en-GB"/>
        </w:rPr>
      </w:pPr>
      <w:r w:rsidRPr="00121C4B">
        <w:rPr>
          <w:rFonts w:ascii="Times New Roman" w:eastAsia="Times New Roman" w:hAnsi="Times New Roman" w:cs="Times New Roman"/>
          <w:b/>
          <w:bCs/>
          <w:sz w:val="24"/>
          <w:szCs w:val="24"/>
          <w:lang w:eastAsia="en-GB"/>
        </w:rPr>
        <w:t>Conclusion</w:t>
      </w:r>
      <w:r w:rsidR="00AF7F2E">
        <w:rPr>
          <w:rFonts w:ascii="Times New Roman" w:eastAsia="Times New Roman" w:hAnsi="Times New Roman" w:cs="Times New Roman"/>
          <w:sz w:val="24"/>
          <w:szCs w:val="24"/>
          <w:lang w:eastAsia="en-GB"/>
        </w:rPr>
        <w:t xml:space="preserve">: </w:t>
      </w:r>
      <w:r w:rsidRPr="00121C4B">
        <w:rPr>
          <w:rFonts w:ascii="Times New Roman" w:eastAsia="Times New Roman" w:hAnsi="Times New Roman" w:cs="Times New Roman"/>
          <w:sz w:val="24"/>
          <w:szCs w:val="24"/>
          <w:lang w:eastAsia="en-GB"/>
        </w:rPr>
        <w:t>Celphos poisoning remains a highly fatal toxicological emergency. The REMS score serves as a strong predictor of mortality. Administration of GIK regimen significantly improves survival outcomes, particularly when initiated early. Further large-scale prospective studies are warranted to establish standardized treatment protocols.</w:t>
      </w:r>
    </w:p>
    <w:p w14:paraId="6A9200E3" w14:textId="65CB5875" w:rsidR="00F555FF" w:rsidRPr="00121C4B" w:rsidRDefault="00F555FF" w:rsidP="00AF7F2E">
      <w:pPr>
        <w:spacing w:before="100" w:beforeAutospacing="1" w:after="100" w:afterAutospacing="1" w:line="240" w:lineRule="auto"/>
        <w:ind w:firstLine="0"/>
        <w:jc w:val="both"/>
        <w:rPr>
          <w:rFonts w:ascii="Times New Roman" w:eastAsia="Times New Roman" w:hAnsi="Times New Roman" w:cs="Times New Roman"/>
          <w:sz w:val="24"/>
          <w:szCs w:val="24"/>
          <w:lang w:eastAsia="en-GB"/>
        </w:rPr>
      </w:pPr>
      <w:r w:rsidRPr="00121C4B">
        <w:rPr>
          <w:rFonts w:ascii="Times New Roman" w:eastAsia="Times New Roman" w:hAnsi="Times New Roman" w:cs="Times New Roman"/>
          <w:b/>
          <w:bCs/>
          <w:sz w:val="24"/>
          <w:szCs w:val="24"/>
          <w:lang w:eastAsia="en-GB"/>
        </w:rPr>
        <w:t>Conflict of Interest</w:t>
      </w:r>
      <w:r w:rsidR="00AF7F2E">
        <w:rPr>
          <w:rFonts w:ascii="Times New Roman" w:eastAsia="Times New Roman" w:hAnsi="Times New Roman" w:cs="Times New Roman"/>
          <w:sz w:val="24"/>
          <w:szCs w:val="24"/>
          <w:lang w:eastAsia="en-GB"/>
        </w:rPr>
        <w:t xml:space="preserve">: </w:t>
      </w:r>
      <w:r w:rsidRPr="00121C4B">
        <w:rPr>
          <w:rFonts w:ascii="Times New Roman" w:eastAsia="Times New Roman" w:hAnsi="Times New Roman" w:cs="Times New Roman"/>
          <w:sz w:val="24"/>
          <w:szCs w:val="24"/>
          <w:lang w:eastAsia="en-GB"/>
        </w:rPr>
        <w:t>The authors declare no financial or non-financial conflicts of interest related to this study.</w:t>
      </w:r>
    </w:p>
    <w:p w14:paraId="277F811A" w14:textId="06E9D194" w:rsidR="006A49EF" w:rsidRDefault="00AF7F2E" w:rsidP="00AF7F2E">
      <w:pPr>
        <w:pStyle w:val="NormalWeb"/>
        <w:jc w:val="both"/>
      </w:pPr>
      <w:r w:rsidRPr="00AF7F2E">
        <w:rPr>
          <w:b/>
        </w:rPr>
        <w:t>Keywords:</w:t>
      </w:r>
      <w:r>
        <w:t xml:space="preserve"> Aluminium phosphide poisoning, Glucose–Insulin–Potassium (GIK) therapy, Toxicological emergency, Cardiotoxicity, Mortality predictors</w:t>
      </w:r>
    </w:p>
    <w:p w14:paraId="496440D2" w14:textId="4D7FBC4C" w:rsidR="00595B21" w:rsidRPr="00595B21" w:rsidRDefault="00595B21" w:rsidP="00AF7F2E">
      <w:pPr>
        <w:pStyle w:val="NormalWeb"/>
        <w:jc w:val="both"/>
        <w:rPr>
          <w:b/>
        </w:rPr>
      </w:pPr>
      <w:r w:rsidRPr="00595B21">
        <w:rPr>
          <w:b/>
        </w:rPr>
        <w:t>Recent Publications:</w:t>
      </w:r>
    </w:p>
    <w:p w14:paraId="6AA0C9D1" w14:textId="77777777" w:rsidR="00595B21" w:rsidRPr="00595B21" w:rsidRDefault="00595B21" w:rsidP="00595B21">
      <w:pPr>
        <w:pStyle w:val="ListParagraph"/>
        <w:numPr>
          <w:ilvl w:val="0"/>
          <w:numId w:val="1"/>
        </w:numPr>
        <w:autoSpaceDE w:val="0"/>
        <w:autoSpaceDN w:val="0"/>
        <w:adjustRightInd w:val="0"/>
        <w:spacing w:after="162" w:line="240" w:lineRule="auto"/>
        <w:ind w:right="177"/>
        <w:contextualSpacing w:val="0"/>
        <w:jc w:val="both"/>
        <w:rPr>
          <w:rFonts w:ascii="Times New Roman" w:eastAsia="Times New Roman" w:hAnsi="Times New Roman" w:cs="Times New Roman"/>
          <w:lang w:val="en-US"/>
        </w:rPr>
      </w:pPr>
      <w:r w:rsidRPr="00595B21">
        <w:rPr>
          <w:rFonts w:ascii="Times New Roman" w:hAnsi="Times New Roman" w:cs="Times New Roman"/>
          <w:b/>
        </w:rPr>
        <w:t>Kumar D</w:t>
      </w:r>
      <w:r w:rsidRPr="00595B21">
        <w:rPr>
          <w:rFonts w:ascii="Times New Roman" w:hAnsi="Times New Roman" w:cs="Times New Roman"/>
        </w:rPr>
        <w:t>, Kumar A, Aswin AD, Kohli A, Bhadoria P. Spring loaded syringe versus standard loss of resistance syringe for identification of lumbar epidural space: A randomized controlled study. Indian J Clin Anaesth. 2025;12(2):338-342.</w:t>
      </w:r>
    </w:p>
    <w:p w14:paraId="356B3AE2" w14:textId="77777777" w:rsidR="00595B21" w:rsidRPr="00595B21" w:rsidRDefault="00595B21" w:rsidP="00595B21">
      <w:pPr>
        <w:pStyle w:val="NormalWeb"/>
        <w:numPr>
          <w:ilvl w:val="0"/>
          <w:numId w:val="1"/>
        </w:numPr>
      </w:pPr>
      <w:r w:rsidRPr="00595B21">
        <w:lastRenderedPageBreak/>
        <w:t xml:space="preserve">Bhushan D, Dogney M, </w:t>
      </w:r>
      <w:r w:rsidRPr="00595B21">
        <w:rPr>
          <w:b/>
        </w:rPr>
        <w:t>Kumar D</w:t>
      </w:r>
      <w:r w:rsidRPr="00595B21">
        <w:t xml:space="preserve">, Iqbal AN M, Vaibhaw V. Clinical profile and outcome of heat-stroke patients presenting to the emergency department of a tertiary care center in Eastern India. </w:t>
      </w:r>
      <w:r w:rsidRPr="00595B21">
        <w:rPr>
          <w:rStyle w:val="Emphasis"/>
          <w:rFonts w:eastAsiaTheme="majorEastAsia"/>
        </w:rPr>
        <w:t>Wilderness Environ Med</w:t>
      </w:r>
      <w:r w:rsidRPr="00595B21">
        <w:t xml:space="preserve">. 2026;37(1):12-16. doi:10.1177/10806032251361709. </w:t>
      </w:r>
    </w:p>
    <w:p w14:paraId="6DBEAF6A" w14:textId="77777777" w:rsidR="00595B21" w:rsidRPr="00595B21" w:rsidRDefault="00595B21" w:rsidP="00595B21">
      <w:pPr>
        <w:pStyle w:val="ListParagraph"/>
        <w:numPr>
          <w:ilvl w:val="0"/>
          <w:numId w:val="1"/>
        </w:numPr>
        <w:autoSpaceDE w:val="0"/>
        <w:autoSpaceDN w:val="0"/>
        <w:adjustRightInd w:val="0"/>
        <w:spacing w:after="162" w:line="240" w:lineRule="auto"/>
        <w:ind w:right="177"/>
        <w:contextualSpacing w:val="0"/>
        <w:jc w:val="both"/>
        <w:rPr>
          <w:rFonts w:ascii="Times New Roman" w:hAnsi="Times New Roman" w:cs="Times New Roman"/>
        </w:rPr>
      </w:pPr>
      <w:r w:rsidRPr="00595B21">
        <w:rPr>
          <w:rFonts w:ascii="Times New Roman" w:hAnsi="Times New Roman" w:cs="Times New Roman"/>
          <w:b/>
          <w:bCs/>
          <w:color w:val="000000"/>
        </w:rPr>
        <w:t>Kumar D</w:t>
      </w:r>
      <w:r w:rsidRPr="00595B21">
        <w:rPr>
          <w:rFonts w:ascii="Times New Roman" w:hAnsi="Times New Roman" w:cs="Times New Roman"/>
          <w:color w:val="000000"/>
        </w:rPr>
        <w:t xml:space="preserve">, Kumar A, Kohli A, Singh R, Raman K. Effect of prone positioning and high flow nasal cannula on oxygenation and overall outcome in spontaneously breathing awake </w:t>
      </w:r>
      <w:r w:rsidRPr="00595B21">
        <w:rPr>
          <w:rFonts w:ascii="Times New Roman" w:hAnsi="Times New Roman" w:cs="Times New Roman"/>
        </w:rPr>
        <w:t>patient with COVID-19 induced acute hypoxemic respiratory failure. Trends Anaesth. Crit. Care.42 (2022) 9-13.</w:t>
      </w:r>
    </w:p>
    <w:p w14:paraId="475C6201" w14:textId="77777777" w:rsidR="00595B21" w:rsidRPr="00595B21" w:rsidRDefault="00595B21" w:rsidP="00595B21">
      <w:pPr>
        <w:pStyle w:val="ListParagraph"/>
        <w:numPr>
          <w:ilvl w:val="0"/>
          <w:numId w:val="1"/>
        </w:numPr>
        <w:autoSpaceDE w:val="0"/>
        <w:autoSpaceDN w:val="0"/>
        <w:adjustRightInd w:val="0"/>
        <w:spacing w:after="162" w:line="240" w:lineRule="auto"/>
        <w:ind w:right="177"/>
        <w:contextualSpacing w:val="0"/>
        <w:jc w:val="both"/>
        <w:rPr>
          <w:rFonts w:ascii="Times New Roman" w:hAnsi="Times New Roman" w:cs="Times New Roman"/>
        </w:rPr>
      </w:pPr>
      <w:r w:rsidRPr="00595B21">
        <w:rPr>
          <w:rFonts w:ascii="Times New Roman" w:hAnsi="Times New Roman" w:cs="Times New Roman"/>
          <w:color w:val="000032"/>
        </w:rPr>
        <w:t xml:space="preserve">Correlation of patient’s profile and biomarkers with outcomes in COVID-19 ICU patients: A retrospective analysis. </w:t>
      </w:r>
      <w:r w:rsidRPr="00595B21">
        <w:rPr>
          <w:rFonts w:ascii="Times New Roman" w:hAnsi="Times New Roman" w:cs="Times New Roman"/>
          <w:b/>
          <w:bCs/>
        </w:rPr>
        <w:t>Kumar D</w:t>
      </w:r>
      <w:r w:rsidRPr="00595B21">
        <w:rPr>
          <w:rFonts w:ascii="Times New Roman" w:hAnsi="Times New Roman" w:cs="Times New Roman"/>
        </w:rPr>
        <w:t xml:space="preserve">, Raman K, Kumar A, Kohli A, Saxena KN, Wadhawan S. </w:t>
      </w:r>
      <w:r w:rsidRPr="00595B21">
        <w:rPr>
          <w:rFonts w:ascii="Times New Roman" w:hAnsi="Times New Roman" w:cs="Times New Roman"/>
          <w:color w:val="000032"/>
        </w:rPr>
        <w:t>Romanian Journal of Anaesthesia and Intensive Care, Ref.: Ms. No. RJAIC-D-22-00005</w:t>
      </w:r>
      <w:r w:rsidRPr="00595B21">
        <w:rPr>
          <w:rFonts w:ascii="Times New Roman" w:hAnsi="Times New Roman" w:cs="Times New Roman"/>
        </w:rPr>
        <w:t xml:space="preserve"> (Accepted for publication on 9th May 2022)</w:t>
      </w:r>
    </w:p>
    <w:p w14:paraId="3E289ACD" w14:textId="77777777" w:rsidR="00595B21" w:rsidRPr="00595B21" w:rsidRDefault="00595B21" w:rsidP="00595B21">
      <w:pPr>
        <w:pStyle w:val="ListParagraph"/>
        <w:numPr>
          <w:ilvl w:val="0"/>
          <w:numId w:val="1"/>
        </w:numPr>
        <w:autoSpaceDE w:val="0"/>
        <w:autoSpaceDN w:val="0"/>
        <w:adjustRightInd w:val="0"/>
        <w:spacing w:after="162" w:line="240" w:lineRule="auto"/>
        <w:ind w:right="177"/>
        <w:contextualSpacing w:val="0"/>
        <w:jc w:val="both"/>
        <w:rPr>
          <w:rFonts w:ascii="Times New Roman" w:hAnsi="Times New Roman" w:cs="Times New Roman"/>
        </w:rPr>
      </w:pPr>
      <w:r w:rsidRPr="00595B21">
        <w:rPr>
          <w:rFonts w:ascii="Times New Roman" w:hAnsi="Times New Roman" w:cs="Times New Roman"/>
          <w:b/>
          <w:bCs/>
          <w:color w:val="000000"/>
        </w:rPr>
        <w:t>Kumar D</w:t>
      </w:r>
      <w:r w:rsidRPr="00595B21">
        <w:rPr>
          <w:rFonts w:ascii="Times New Roman" w:hAnsi="Times New Roman" w:cs="Times New Roman"/>
          <w:color w:val="000000"/>
        </w:rPr>
        <w:t xml:space="preserve">, Wadhawan S, Sivaraj, Kohli A, Bhadoria P, Kumar A, Gupta L. Comparative evaluation of ease of tracheal intubation using Airtraq and intubating laryngeal mask airway with cervical spine immobilization. </w:t>
      </w:r>
      <w:r w:rsidRPr="00595B21">
        <w:rPr>
          <w:rFonts w:ascii="Times New Roman" w:hAnsi="Times New Roman" w:cs="Times New Roman"/>
        </w:rPr>
        <w:t xml:space="preserve">Indian J Clin Anaesth </w:t>
      </w:r>
      <w:r w:rsidRPr="00595B21">
        <w:rPr>
          <w:rFonts w:ascii="Times New Roman" w:hAnsi="Times New Roman" w:cs="Times New Roman"/>
          <w:color w:val="000000"/>
        </w:rPr>
        <w:t>2021;8(2):161-166.</w:t>
      </w:r>
    </w:p>
    <w:p w14:paraId="6CCF24C8" w14:textId="77777777" w:rsid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sectPr w:rsidR="00595B21" w:rsidSect="00595B21">
          <w:type w:val="continuous"/>
          <w:pgSz w:w="11906" w:h="16838"/>
          <w:pgMar w:top="1440" w:right="1440" w:bottom="1440" w:left="1440" w:header="708" w:footer="708" w:gutter="0"/>
          <w:cols w:num="2" w:space="708"/>
          <w:docGrid w:linePitch="360"/>
        </w:sectPr>
      </w:pPr>
    </w:p>
    <w:p w14:paraId="65481474" w14:textId="5819B204" w:rsid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pPr>
      <w:r>
        <w:rPr>
          <w:rFonts w:ascii="Times New Roman" w:eastAsia="Times New Roman" w:hAnsi="Times New Roman" w:cs="Times New Roman"/>
          <w:noProof/>
          <w:sz w:val="24"/>
          <w:szCs w:val="24"/>
          <w:lang w:eastAsia="en-IN"/>
        </w:rPr>
        <mc:AlternateContent>
          <mc:Choice Requires="wps">
            <w:drawing>
              <wp:anchor distT="0" distB="0" distL="114300" distR="114300" simplePos="0" relativeHeight="251659264" behindDoc="0" locked="0" layoutInCell="1" allowOverlap="1" wp14:anchorId="0094E709" wp14:editId="5DBDA6CA">
                <wp:simplePos x="0" y="0"/>
                <wp:positionH relativeFrom="column">
                  <wp:posOffset>19050</wp:posOffset>
                </wp:positionH>
                <wp:positionV relativeFrom="paragraph">
                  <wp:posOffset>175895</wp:posOffset>
                </wp:positionV>
                <wp:extent cx="1704975" cy="12382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1704975" cy="1238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F7E14A" w14:textId="4281F8EF" w:rsidR="00595B21" w:rsidRDefault="00595B21">
                            <w:r w:rsidRPr="00595B21">
                              <w:rPr>
                                <w:noProof/>
                                <w:lang w:eastAsia="en-IN"/>
                              </w:rPr>
                              <w:drawing>
                                <wp:inline distT="0" distB="0" distL="0" distR="0" wp14:anchorId="0ED3768B" wp14:editId="0BF9C08D">
                                  <wp:extent cx="1238250" cy="1132805"/>
                                  <wp:effectExtent l="0" t="0" r="0" b="0"/>
                                  <wp:docPr id="2" name="Picture 2" descr="C:\Users\Cynix\Downloads\WhatsApp Image 2026-02-04 at 1.15.5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nix\Downloads\WhatsApp Image 2026-02-04 at 1.15.57 PM.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8870" cy="11516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094E709" id="_x0000_t202" coordsize="21600,21600" o:spt="202" path="m,l,21600r21600,l21600,xe">
                <v:stroke joinstyle="miter"/>
                <v:path gradientshapeok="t" o:connecttype="rect"/>
              </v:shapetype>
              <v:shape id="Text Box 1" o:spid="_x0000_s1026" type="#_x0000_t202" style="position:absolute;left:0;text-align:left;margin-left:1.5pt;margin-top:13.85pt;width:134.25pt;height:9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" fillcolor="white [3201]" strokeweight=".5pt">
                <v:textbox>
                  <w:txbxContent>
                    <w:p w14:paraId="30F7E14A" w14:textId="4281F8EF" w:rsidR="00595B21" w:rsidRDefault="00595B21">
                      <w:r w:rsidRPr="00595B21">
                        <w:rPr>
                          <w:noProof/>
                          <w:lang w:eastAsia="en-IN"/>
                        </w:rPr>
                        <w:drawing>
                          <wp:inline distT="0" distB="0" distL="0" distR="0" wp14:anchorId="0ED3768B" wp14:editId="0BF9C08D">
                            <wp:extent cx="1238250" cy="1132805"/>
                            <wp:effectExtent l="0" t="0" r="0" b="0"/>
                            <wp:docPr id="2" name="Picture 2" descr="C:\Users\Cynix\Downloads\WhatsApp Image 2026-02-04 at 1.15.5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nix\Downloads\WhatsApp Image 2026-02-04 at 1.15.57 PM.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8870" cy="1151669"/>
                                    </a:xfrm>
                                    <a:prstGeom prst="rect">
                                      <a:avLst/>
                                    </a:prstGeom>
                                    <a:noFill/>
                                    <a:ln>
                                      <a:noFill/>
                                    </a:ln>
                                  </pic:spPr>
                                </pic:pic>
                              </a:graphicData>
                            </a:graphic>
                          </wp:inline>
                        </w:drawing>
                      </w:r>
                    </w:p>
                  </w:txbxContent>
                </v:textbox>
              </v:shape>
            </w:pict>
          </mc:Fallback>
        </mc:AlternateContent>
      </w:r>
    </w:p>
    <w:p w14:paraId="1945896C" w14:textId="77777777" w:rsid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pPr>
    </w:p>
    <w:p w14:paraId="1BB5C190" w14:textId="77777777" w:rsid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pPr>
    </w:p>
    <w:p w14:paraId="26CF762C" w14:textId="77777777" w:rsid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pPr>
    </w:p>
    <w:p w14:paraId="7FF54D0C" w14:textId="77777777" w:rsid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pPr>
    </w:p>
    <w:p w14:paraId="0099C81D" w14:textId="77777777" w:rsid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pPr>
    </w:p>
    <w:p w14:paraId="269EB2AA" w14:textId="77777777" w:rsid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pPr>
    </w:p>
    <w:p w14:paraId="3138EB18" w14:textId="77777777" w:rsid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pPr>
    </w:p>
    <w:p w14:paraId="6F9FB3B2" w14:textId="77777777" w:rsid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pPr>
    </w:p>
    <w:p w14:paraId="08881AD0" w14:textId="77777777" w:rsidR="00595B21" w:rsidRP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pPr>
      <w:r w:rsidRPr="00595B21">
        <w:rPr>
          <w:rFonts w:ascii="Times New Roman" w:eastAsia="Times New Roman" w:hAnsi="Times New Roman" w:cs="Times New Roman"/>
          <w:sz w:val="24"/>
          <w:szCs w:val="24"/>
          <w:lang w:eastAsia="en-IN"/>
        </w:rPr>
        <w:t>Dr Deepak Kumar is an Assistant Professor in the Department of Emergency Medicine at the All India Institute of Medical Sciences (AIIMS), Patna, India. He completed his MBBS from University College of Medical Sciences, Delhi University, followed by an MD in Anaesthesiology from Maulana Azad Medical College, Delhi University. He subsequently served as a Senior Resident at Maulana Azad Medical College and Lok Nayak Hospital, New Delhi, gaining extensive experience in critical care, airway management, and perioperative medicine.</w:t>
      </w:r>
    </w:p>
    <w:p w14:paraId="687954DC" w14:textId="77777777" w:rsidR="00595B21" w:rsidRPr="00595B21" w:rsidRDefault="00595B21" w:rsidP="00595B21">
      <w:pPr>
        <w:pStyle w:val="ListParagraph"/>
        <w:spacing w:before="100" w:beforeAutospacing="1" w:after="100" w:afterAutospacing="1" w:line="240" w:lineRule="auto"/>
        <w:ind w:left="360" w:firstLine="0"/>
        <w:rPr>
          <w:rFonts w:ascii="Times New Roman" w:eastAsia="Times New Roman" w:hAnsi="Times New Roman" w:cs="Times New Roman"/>
          <w:sz w:val="24"/>
          <w:szCs w:val="24"/>
          <w:lang w:eastAsia="en-IN"/>
        </w:rPr>
      </w:pPr>
      <w:r w:rsidRPr="00595B21">
        <w:rPr>
          <w:rFonts w:ascii="Times New Roman" w:eastAsia="Times New Roman" w:hAnsi="Times New Roman" w:cs="Times New Roman"/>
          <w:sz w:val="24"/>
          <w:szCs w:val="24"/>
          <w:lang w:eastAsia="en-IN"/>
        </w:rPr>
        <w:t>Dr Kumar has a total teaching experience of nearly four years and has previously worked as an Assistant Professor at ESIC Medical College and Hospital, Faridabad. He is an instructor for Basic Life Support and Advanced Airway Skills and has conducted multiple workshops across India. He is a life member of the Indian Society of Anaesthesiologists and the Research Society of Anaesthesiology and Clinical Pharmacology. Dr Kumar has authored several publications in indexed national and international journals and has been invited as a guest speaker at various academic conferences.</w:t>
      </w:r>
    </w:p>
    <w:p w14:paraId="3C5ECD93" w14:textId="77777777" w:rsidR="00595B21" w:rsidRDefault="00595B21" w:rsidP="00595B21">
      <w:pPr>
        <w:pStyle w:val="ListParagraph"/>
        <w:autoSpaceDE w:val="0"/>
        <w:autoSpaceDN w:val="0"/>
        <w:adjustRightInd w:val="0"/>
        <w:spacing w:after="162" w:line="240" w:lineRule="auto"/>
        <w:ind w:left="0" w:right="177" w:firstLine="0"/>
        <w:contextualSpacing w:val="0"/>
        <w:jc w:val="both"/>
        <w:rPr>
          <w:rFonts w:ascii="Times New Roman" w:hAnsi="Times New Roman"/>
          <w:spacing w:val="-1"/>
        </w:rPr>
      </w:pPr>
    </w:p>
    <w:p w14:paraId="5FB37684" w14:textId="5B8C9C8E" w:rsidR="00595B21" w:rsidRPr="00595B21" w:rsidRDefault="00595B21" w:rsidP="00595B21">
      <w:pPr>
        <w:pStyle w:val="ListParagraph"/>
        <w:autoSpaceDE w:val="0"/>
        <w:autoSpaceDN w:val="0"/>
        <w:adjustRightInd w:val="0"/>
        <w:spacing w:after="162" w:line="240" w:lineRule="auto"/>
        <w:ind w:left="0" w:right="177" w:firstLine="0"/>
        <w:contextualSpacing w:val="0"/>
        <w:jc w:val="center"/>
        <w:rPr>
          <w:rFonts w:ascii="Times New Roman" w:hAnsi="Times New Roman" w:cs="Times New Roman"/>
          <w:i/>
        </w:rPr>
      </w:pPr>
      <w:r w:rsidRPr="00595B21">
        <w:rPr>
          <w:rFonts w:ascii="Times New Roman" w:hAnsi="Times New Roman"/>
          <w:i/>
          <w:spacing w:val="-1"/>
        </w:rPr>
        <w:t>E-mail</w:t>
      </w:r>
      <w:r w:rsidRPr="00595B21">
        <w:rPr>
          <w:rFonts w:ascii="Times New Roman" w:hAnsi="Times New Roman"/>
          <w:i/>
          <w:spacing w:val="-3"/>
        </w:rPr>
        <w:t xml:space="preserve"> </w:t>
      </w:r>
      <w:r w:rsidRPr="00595B21">
        <w:rPr>
          <w:rFonts w:ascii="Times New Roman" w:hAnsi="Times New Roman"/>
          <w:i/>
          <w:spacing w:val="2"/>
        </w:rPr>
        <w:t>of</w:t>
      </w:r>
      <w:r w:rsidRPr="00595B21">
        <w:rPr>
          <w:rFonts w:ascii="Times New Roman" w:hAnsi="Times New Roman"/>
          <w:i/>
          <w:spacing w:val="-6"/>
        </w:rPr>
        <w:t xml:space="preserve"> </w:t>
      </w:r>
      <w:r w:rsidRPr="00595B21">
        <w:rPr>
          <w:rFonts w:ascii="Times New Roman" w:hAnsi="Times New Roman"/>
          <w:i/>
          <w:spacing w:val="-1"/>
        </w:rPr>
        <w:t>corresponding</w:t>
      </w:r>
      <w:r w:rsidRPr="00595B21">
        <w:rPr>
          <w:rFonts w:ascii="Times New Roman" w:hAnsi="Times New Roman"/>
          <w:i/>
          <w:spacing w:val="2"/>
        </w:rPr>
        <w:t xml:space="preserve"> </w:t>
      </w:r>
      <w:r w:rsidRPr="00595B21">
        <w:rPr>
          <w:rFonts w:ascii="Times New Roman" w:hAnsi="Times New Roman"/>
          <w:i/>
        </w:rPr>
        <w:t>author: dr.deepak11706@aiimspatna.org</w:t>
      </w:r>
    </w:p>
    <w:p w14:paraId="38679E6E" w14:textId="77777777" w:rsidR="00595B21" w:rsidRPr="00595B21" w:rsidRDefault="00595B21" w:rsidP="00AF7F2E">
      <w:pPr>
        <w:pStyle w:val="NormalWeb"/>
        <w:jc w:val="both"/>
        <w:rPr>
          <w:b/>
        </w:rPr>
      </w:pPr>
    </w:p>
    <w:sectPr w:rsidR="00595B21" w:rsidRPr="00595B21" w:rsidSect="00595B2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4B665A" w14:textId="77777777" w:rsidR="001C4BC5" w:rsidRDefault="001C4BC5" w:rsidP="008D1A49">
      <w:pPr>
        <w:spacing w:after="0" w:line="240" w:lineRule="auto"/>
      </w:pPr>
      <w:r>
        <w:separator/>
      </w:r>
    </w:p>
  </w:endnote>
  <w:endnote w:type="continuationSeparator" w:id="0">
    <w:p w14:paraId="4F0895A5" w14:textId="77777777" w:rsidR="001C4BC5" w:rsidRDefault="001C4BC5" w:rsidP="008D1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76C053" w14:textId="77777777" w:rsidR="001C4BC5" w:rsidRDefault="001C4BC5" w:rsidP="008D1A49">
      <w:pPr>
        <w:spacing w:after="0" w:line="240" w:lineRule="auto"/>
      </w:pPr>
      <w:r>
        <w:separator/>
      </w:r>
    </w:p>
  </w:footnote>
  <w:footnote w:type="continuationSeparator" w:id="0">
    <w:p w14:paraId="637E08C5" w14:textId="77777777" w:rsidR="001C4BC5" w:rsidRDefault="001C4BC5" w:rsidP="008D1A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33771D"/>
    <w:multiLevelType w:val="hybridMultilevel"/>
    <w:tmpl w:val="761C894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A49"/>
    <w:rsid w:val="00027290"/>
    <w:rsid w:val="000E4906"/>
    <w:rsid w:val="00121C4B"/>
    <w:rsid w:val="001C4BC5"/>
    <w:rsid w:val="001C6428"/>
    <w:rsid w:val="002406A7"/>
    <w:rsid w:val="0053734F"/>
    <w:rsid w:val="00595B21"/>
    <w:rsid w:val="006A49EF"/>
    <w:rsid w:val="008D1A49"/>
    <w:rsid w:val="0091657B"/>
    <w:rsid w:val="00AD0B6D"/>
    <w:rsid w:val="00AF7F2E"/>
    <w:rsid w:val="00B0466E"/>
    <w:rsid w:val="00C96682"/>
    <w:rsid w:val="00F03E18"/>
    <w:rsid w:val="00F555FF"/>
    <w:rsid w:val="00F74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6D82C"/>
  <w15:chartTrackingRefBased/>
  <w15:docId w15:val="{6502D8CD-B9E6-F145-AC2A-85ACB267A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290"/>
  </w:style>
  <w:style w:type="paragraph" w:styleId="Heading1">
    <w:name w:val="heading 1"/>
    <w:basedOn w:val="Normal"/>
    <w:next w:val="Normal"/>
    <w:link w:val="Heading1Char"/>
    <w:uiPriority w:val="9"/>
    <w:qFormat/>
    <w:rsid w:val="00027290"/>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027290"/>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027290"/>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semiHidden/>
    <w:unhideWhenUsed/>
    <w:qFormat/>
    <w:rsid w:val="00027290"/>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rsid w:val="00027290"/>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027290"/>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027290"/>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027290"/>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027290"/>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290"/>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rsid w:val="000272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027290"/>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semiHidden/>
    <w:rsid w:val="00027290"/>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027290"/>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027290"/>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027290"/>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027290"/>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027290"/>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027290"/>
    <w:rPr>
      <w:b/>
      <w:bCs/>
      <w:sz w:val="18"/>
      <w:szCs w:val="18"/>
    </w:rPr>
  </w:style>
  <w:style w:type="paragraph" w:styleId="Title">
    <w:name w:val="Title"/>
    <w:basedOn w:val="Normal"/>
    <w:next w:val="Normal"/>
    <w:link w:val="TitleChar"/>
    <w:uiPriority w:val="10"/>
    <w:qFormat/>
    <w:rsid w:val="00027290"/>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027290"/>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027290"/>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027290"/>
    <w:rPr>
      <w:i/>
      <w:iCs/>
      <w:color w:val="808080" w:themeColor="text1" w:themeTint="7F"/>
      <w:spacing w:val="10"/>
      <w:sz w:val="24"/>
      <w:szCs w:val="24"/>
    </w:rPr>
  </w:style>
  <w:style w:type="character" w:styleId="Strong">
    <w:name w:val="Strong"/>
    <w:basedOn w:val="DefaultParagraphFont"/>
    <w:uiPriority w:val="22"/>
    <w:qFormat/>
    <w:rsid w:val="00027290"/>
    <w:rPr>
      <w:b/>
      <w:bCs/>
      <w:spacing w:val="0"/>
    </w:rPr>
  </w:style>
  <w:style w:type="character" w:styleId="Emphasis">
    <w:name w:val="Emphasis"/>
    <w:uiPriority w:val="20"/>
    <w:qFormat/>
    <w:rsid w:val="00027290"/>
    <w:rPr>
      <w:b/>
      <w:bCs/>
      <w:i/>
      <w:iCs/>
      <w:color w:val="auto"/>
    </w:rPr>
  </w:style>
  <w:style w:type="paragraph" w:styleId="NoSpacing">
    <w:name w:val="No Spacing"/>
    <w:basedOn w:val="Normal"/>
    <w:uiPriority w:val="1"/>
    <w:qFormat/>
    <w:rsid w:val="00027290"/>
    <w:pPr>
      <w:spacing w:after="0" w:line="240" w:lineRule="auto"/>
      <w:ind w:firstLine="0"/>
    </w:pPr>
  </w:style>
  <w:style w:type="paragraph" w:styleId="ListParagraph">
    <w:name w:val="List Paragraph"/>
    <w:basedOn w:val="Normal"/>
    <w:uiPriority w:val="1"/>
    <w:qFormat/>
    <w:rsid w:val="00027290"/>
    <w:pPr>
      <w:ind w:left="720"/>
      <w:contextualSpacing/>
    </w:pPr>
  </w:style>
  <w:style w:type="paragraph" w:styleId="Quote">
    <w:name w:val="Quote"/>
    <w:basedOn w:val="Normal"/>
    <w:next w:val="Normal"/>
    <w:link w:val="QuoteChar"/>
    <w:uiPriority w:val="29"/>
    <w:qFormat/>
    <w:rsid w:val="00027290"/>
    <w:rPr>
      <w:color w:val="5A5A5A" w:themeColor="text1" w:themeTint="A5"/>
    </w:rPr>
  </w:style>
  <w:style w:type="character" w:customStyle="1" w:styleId="QuoteChar">
    <w:name w:val="Quote Char"/>
    <w:basedOn w:val="DefaultParagraphFont"/>
    <w:link w:val="Quote"/>
    <w:uiPriority w:val="29"/>
    <w:rsid w:val="00027290"/>
    <w:rPr>
      <w:color w:val="5A5A5A" w:themeColor="text1" w:themeTint="A5"/>
    </w:rPr>
  </w:style>
  <w:style w:type="paragraph" w:styleId="IntenseQuote">
    <w:name w:val="Intense Quote"/>
    <w:basedOn w:val="Normal"/>
    <w:next w:val="Normal"/>
    <w:link w:val="IntenseQuoteChar"/>
    <w:uiPriority w:val="30"/>
    <w:qFormat/>
    <w:rsid w:val="00027290"/>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027290"/>
    <w:rPr>
      <w:rFonts w:asciiTheme="majorHAnsi" w:eastAsiaTheme="majorEastAsia" w:hAnsiTheme="majorHAnsi" w:cstheme="majorBidi"/>
      <w:i/>
      <w:iCs/>
      <w:sz w:val="20"/>
      <w:szCs w:val="20"/>
    </w:rPr>
  </w:style>
  <w:style w:type="character" w:styleId="SubtleEmphasis">
    <w:name w:val="Subtle Emphasis"/>
    <w:uiPriority w:val="19"/>
    <w:qFormat/>
    <w:rsid w:val="00027290"/>
    <w:rPr>
      <w:i/>
      <w:iCs/>
      <w:color w:val="5A5A5A" w:themeColor="text1" w:themeTint="A5"/>
    </w:rPr>
  </w:style>
  <w:style w:type="character" w:styleId="IntenseEmphasis">
    <w:name w:val="Intense Emphasis"/>
    <w:uiPriority w:val="21"/>
    <w:qFormat/>
    <w:rsid w:val="00027290"/>
    <w:rPr>
      <w:b/>
      <w:bCs/>
      <w:i/>
      <w:iCs/>
      <w:color w:val="auto"/>
      <w:u w:val="single"/>
    </w:rPr>
  </w:style>
  <w:style w:type="character" w:styleId="SubtleReference">
    <w:name w:val="Subtle Reference"/>
    <w:uiPriority w:val="31"/>
    <w:qFormat/>
    <w:rsid w:val="00027290"/>
    <w:rPr>
      <w:smallCaps/>
    </w:rPr>
  </w:style>
  <w:style w:type="character" w:styleId="IntenseReference">
    <w:name w:val="Intense Reference"/>
    <w:uiPriority w:val="32"/>
    <w:qFormat/>
    <w:rsid w:val="00027290"/>
    <w:rPr>
      <w:b/>
      <w:bCs/>
      <w:smallCaps/>
      <w:color w:val="auto"/>
    </w:rPr>
  </w:style>
  <w:style w:type="character" w:styleId="BookTitle">
    <w:name w:val="Book Title"/>
    <w:uiPriority w:val="33"/>
    <w:qFormat/>
    <w:rsid w:val="00027290"/>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027290"/>
    <w:pPr>
      <w:outlineLvl w:val="9"/>
    </w:pPr>
  </w:style>
  <w:style w:type="paragraph" w:styleId="NormalWeb">
    <w:name w:val="Normal (Web)"/>
    <w:basedOn w:val="Normal"/>
    <w:uiPriority w:val="99"/>
    <w:unhideWhenUsed/>
    <w:rsid w:val="008D1A49"/>
    <w:pPr>
      <w:spacing w:before="100" w:beforeAutospacing="1" w:after="100" w:afterAutospacing="1" w:line="240" w:lineRule="auto"/>
      <w:ind w:firstLine="0"/>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D1A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A49"/>
  </w:style>
  <w:style w:type="paragraph" w:styleId="Footer">
    <w:name w:val="footer"/>
    <w:basedOn w:val="Normal"/>
    <w:link w:val="FooterChar"/>
    <w:uiPriority w:val="99"/>
    <w:unhideWhenUsed/>
    <w:rsid w:val="008D1A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767808">
      <w:bodyDiv w:val="1"/>
      <w:marLeft w:val="0"/>
      <w:marRight w:val="0"/>
      <w:marTop w:val="0"/>
      <w:marBottom w:val="0"/>
      <w:divBdr>
        <w:top w:val="none" w:sz="0" w:space="0" w:color="auto"/>
        <w:left w:val="none" w:sz="0" w:space="0" w:color="auto"/>
        <w:bottom w:val="none" w:sz="0" w:space="0" w:color="auto"/>
        <w:right w:val="none" w:sz="0" w:space="0" w:color="auto"/>
      </w:divBdr>
    </w:div>
    <w:div w:id="874854797">
      <w:bodyDiv w:val="1"/>
      <w:marLeft w:val="0"/>
      <w:marRight w:val="0"/>
      <w:marTop w:val="0"/>
      <w:marBottom w:val="0"/>
      <w:divBdr>
        <w:top w:val="none" w:sz="0" w:space="0" w:color="auto"/>
        <w:left w:val="none" w:sz="0" w:space="0" w:color="auto"/>
        <w:bottom w:val="none" w:sz="0" w:space="0" w:color="auto"/>
        <w:right w:val="none" w:sz="0" w:space="0" w:color="auto"/>
      </w:divBdr>
    </w:div>
    <w:div w:id="1373455707">
      <w:bodyDiv w:val="1"/>
      <w:marLeft w:val="0"/>
      <w:marRight w:val="0"/>
      <w:marTop w:val="0"/>
      <w:marBottom w:val="0"/>
      <w:divBdr>
        <w:top w:val="none" w:sz="0" w:space="0" w:color="auto"/>
        <w:left w:val="none" w:sz="0" w:space="0" w:color="auto"/>
        <w:bottom w:val="none" w:sz="0" w:space="0" w:color="auto"/>
        <w:right w:val="none" w:sz="0" w:space="0" w:color="auto"/>
      </w:divBdr>
    </w:div>
    <w:div w:id="1548300143">
      <w:bodyDiv w:val="1"/>
      <w:marLeft w:val="0"/>
      <w:marRight w:val="0"/>
      <w:marTop w:val="0"/>
      <w:marBottom w:val="0"/>
      <w:divBdr>
        <w:top w:val="none" w:sz="0" w:space="0" w:color="auto"/>
        <w:left w:val="none" w:sz="0" w:space="0" w:color="auto"/>
        <w:bottom w:val="none" w:sz="0" w:space="0" w:color="auto"/>
        <w:right w:val="none" w:sz="0" w:space="0" w:color="auto"/>
      </w:divBdr>
    </w:div>
    <w:div w:id="179031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rasha saleem</dc:creator>
  <cp:keywords/>
  <dc:description/>
  <cp:lastModifiedBy>Cynix</cp:lastModifiedBy>
  <cp:revision>9</cp:revision>
  <dcterms:created xsi:type="dcterms:W3CDTF">2025-08-26T05:07:00Z</dcterms:created>
  <dcterms:modified xsi:type="dcterms:W3CDTF">2026-02-04T07:48:00Z</dcterms:modified>
</cp:coreProperties>
</file>