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1E7D89" w:rsidRDefault="00F60D45" w:rsidP="00F60D45">
      <w:pPr>
        <w:pStyle w:val="Heading1"/>
        <w:spacing w:before="170"/>
        <w:jc w:val="both"/>
        <w:rPr>
          <w:color w:val="4F81BD" w:themeColor="accent1"/>
        </w:rPr>
      </w:pPr>
      <w:r w:rsidRPr="001E7D89">
        <w:rPr>
          <w:rFonts w:ascii="Minion" w:hAnsi="Minion"/>
          <w:color w:val="4F81BD" w:themeColor="accent1"/>
        </w:rPr>
        <w:t xml:space="preserve">Influence </w:t>
      </w:r>
      <w:r w:rsidRPr="001E7D89">
        <w:rPr>
          <w:rFonts w:ascii="Minion" w:hAnsi="Minion"/>
          <w:color w:val="4F81BD" w:themeColor="accent1"/>
        </w:rPr>
        <w:t>of formulation and lyophilization process variations on protein aggregation and chemical degradation</w:t>
      </w:r>
      <w:r w:rsidR="003251B0">
        <w:rPr>
          <w:rFonts w:ascii="Minion" w:hAnsi="Minion"/>
          <w:color w:val="4F81BD" w:themeColor="accent1"/>
        </w:rPr>
        <w:t>: Impact of Scale Up</w:t>
      </w:r>
      <w:r w:rsidRPr="001E7D89">
        <w:rPr>
          <w:rFonts w:ascii="Times New Roman" w:hAnsi="Times New Roman"/>
          <w:color w:val="4F81BD" w:themeColor="accent1"/>
        </w:rPr>
        <w:t xml:space="preserve"> </w:t>
      </w:r>
    </w:p>
    <w:p w:rsidR="00F60D45" w:rsidRDefault="00F60D45">
      <w:pPr>
        <w:pStyle w:val="BodyText"/>
        <w:spacing w:before="73" w:line="198" w:lineRule="exact"/>
        <w:ind w:left="100" w:right="5967"/>
        <w:rPr>
          <w:rFonts w:ascii="Arial"/>
        </w:rPr>
      </w:pPr>
      <w:r>
        <w:rPr>
          <w:rFonts w:ascii="Arial"/>
        </w:rPr>
        <w:t xml:space="preserve">Paritosh Pande, PhD, Mohammed M. AbouGhaly, PhD, </w:t>
      </w:r>
      <w:r w:rsidR="003862D8">
        <w:rPr>
          <w:rFonts w:ascii="Arial"/>
        </w:rPr>
        <w:t>P</w:t>
      </w:r>
      <w:r>
        <w:rPr>
          <w:rFonts w:ascii="Arial"/>
        </w:rPr>
        <w:t>rof. Elizabeth M. Topp, Prof. Michael J. Pikal</w:t>
      </w:r>
    </w:p>
    <w:p w:rsidR="00C25D04" w:rsidRDefault="00C25D04" w:rsidP="00C25D04">
      <w:pPr>
        <w:pStyle w:val="Heading3"/>
        <w:spacing w:before="74"/>
      </w:pPr>
      <w:r>
        <w:t xml:space="preserve">                                                                                                 </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31450F">
      <w:pPr>
        <w:pStyle w:val="Heading3"/>
        <w:spacing w:before="147"/>
        <w:ind w:left="0"/>
        <w:jc w:val="both"/>
      </w:pPr>
      <w:r>
        <w:rPr>
          <w:color w:val="BF5A14"/>
        </w:rPr>
        <w:lastRenderedPageBreak/>
        <w:t>Abstract</w:t>
      </w:r>
      <w:r w:rsidR="00C25D04">
        <w:rPr>
          <w:color w:val="BF5A14"/>
        </w:rPr>
        <w:t xml:space="preserve"> </w:t>
      </w:r>
      <w:r w:rsidR="00C25D04">
        <w:rPr>
          <w:color w:val="BF5A14"/>
        </w:rPr>
        <w:tab/>
      </w:r>
      <w:r w:rsidR="00C25D04">
        <w:rPr>
          <w:color w:val="BF5A14"/>
        </w:rPr>
        <w:tab/>
      </w:r>
      <w:r w:rsidR="00C25D04">
        <w:rPr>
          <w:color w:val="BF5A14"/>
        </w:rPr>
        <w:tab/>
      </w:r>
      <w:r w:rsidR="00C25D04">
        <w:rPr>
          <w:color w:val="BF5A14"/>
        </w:rPr>
        <w:tab/>
      </w:r>
      <w:r w:rsidR="00C25D04">
        <w:rPr>
          <w:color w:val="BF5A14"/>
        </w:rPr>
        <w:tab/>
      </w:r>
    </w:p>
    <w:p w:rsidR="00805FF8" w:rsidRPr="00CA55D4" w:rsidRDefault="00A9710C" w:rsidP="0031450F">
      <w:pPr>
        <w:pStyle w:val="BodyText"/>
        <w:spacing w:before="90" w:line="280" w:lineRule="auto"/>
        <w:jc w:val="both"/>
        <w:rPr>
          <w:rFonts w:ascii="Times New Roman" w:hAnsi="Times New Roman" w:cs="Times New Roman"/>
          <w:b/>
        </w:rPr>
      </w:pPr>
      <w:r w:rsidRPr="00CA55D4">
        <w:rPr>
          <w:rFonts w:ascii="Times New Roman" w:hAnsi="Times New Roman" w:cs="Times New Roman"/>
          <w:b/>
        </w:rPr>
        <w:t xml:space="preserve">Statement of the Problem: </w:t>
      </w:r>
    </w:p>
    <w:p w:rsidR="00805FF8" w:rsidRPr="00392618" w:rsidRDefault="0092220D" w:rsidP="00805FF8">
      <w:pPr>
        <w:jc w:val="both"/>
        <w:rPr>
          <w:rFonts w:ascii="Times New Roman" w:hAnsi="Times New Roman" w:cs="Times New Roman"/>
          <w:sz w:val="18"/>
          <w:szCs w:val="18"/>
        </w:rPr>
      </w:pPr>
      <w:r w:rsidRPr="00392618">
        <w:rPr>
          <w:rFonts w:ascii="Times New Roman" w:hAnsi="Times New Roman" w:cs="Times New Roman"/>
          <w:sz w:val="18"/>
          <w:szCs w:val="18"/>
        </w:rPr>
        <w:t>Currently nearly half of the therapeutic</w:t>
      </w:r>
      <w:r w:rsidR="00392618">
        <w:rPr>
          <w:rFonts w:ascii="Times New Roman" w:hAnsi="Times New Roman" w:cs="Times New Roman"/>
          <w:sz w:val="18"/>
          <w:szCs w:val="18"/>
        </w:rPr>
        <w:t xml:space="preserve"> proteins are freeze dried but the </w:t>
      </w:r>
      <w:r w:rsidRPr="00392618">
        <w:rPr>
          <w:rFonts w:ascii="Times New Roman" w:hAnsi="Times New Roman" w:cs="Times New Roman"/>
          <w:sz w:val="18"/>
          <w:szCs w:val="18"/>
        </w:rPr>
        <w:t>freeze-dryi</w:t>
      </w:r>
      <w:r w:rsidR="00857A33" w:rsidRPr="00392618">
        <w:rPr>
          <w:rFonts w:ascii="Times New Roman" w:hAnsi="Times New Roman" w:cs="Times New Roman"/>
          <w:sz w:val="18"/>
          <w:szCs w:val="18"/>
        </w:rPr>
        <w:t>ng does</w:t>
      </w:r>
      <w:r w:rsidR="008A2C6B" w:rsidRPr="00392618">
        <w:rPr>
          <w:rFonts w:ascii="Times New Roman" w:hAnsi="Times New Roman" w:cs="Times New Roman"/>
          <w:sz w:val="18"/>
          <w:szCs w:val="18"/>
        </w:rPr>
        <w:t xml:space="preserve"> not guarantee stability partly because </w:t>
      </w:r>
      <w:r w:rsidR="00805FF8" w:rsidRPr="00392618">
        <w:rPr>
          <w:rFonts w:ascii="Times New Roman" w:hAnsi="Times New Roman" w:cs="Times New Roman"/>
          <w:sz w:val="18"/>
          <w:szCs w:val="18"/>
        </w:rPr>
        <w:t>t</w:t>
      </w:r>
      <w:r w:rsidR="00805FF8" w:rsidRPr="00392618">
        <w:rPr>
          <w:rFonts w:ascii="Times New Roman" w:hAnsi="Times New Roman" w:cs="Times New Roman"/>
          <w:sz w:val="18"/>
          <w:szCs w:val="18"/>
        </w:rPr>
        <w:t xml:space="preserve">he product temperature </w:t>
      </w:r>
      <w:r w:rsidR="00805FF8" w:rsidRPr="00392618">
        <w:rPr>
          <w:rFonts w:ascii="Times New Roman" w:hAnsi="Times New Roman" w:cs="Times New Roman"/>
          <w:sz w:val="18"/>
          <w:szCs w:val="18"/>
        </w:rPr>
        <w:t xml:space="preserve">during a freeze drying cycle cannot be directly controlled. </w:t>
      </w:r>
      <w:r w:rsidR="00AF12E2">
        <w:rPr>
          <w:rFonts w:ascii="Times New Roman" w:hAnsi="Times New Roman" w:cs="Times New Roman"/>
          <w:sz w:val="18"/>
          <w:szCs w:val="18"/>
        </w:rPr>
        <w:t>V</w:t>
      </w:r>
      <w:r w:rsidR="00805FF8" w:rsidRPr="00392618">
        <w:rPr>
          <w:rFonts w:ascii="Times New Roman" w:hAnsi="Times New Roman" w:cs="Times New Roman"/>
          <w:sz w:val="18"/>
          <w:szCs w:val="18"/>
        </w:rPr>
        <w:t>ariations in product temperatu</w:t>
      </w:r>
      <w:r w:rsidR="00E51FF5" w:rsidRPr="00392618">
        <w:rPr>
          <w:rFonts w:ascii="Times New Roman" w:hAnsi="Times New Roman" w:cs="Times New Roman"/>
          <w:sz w:val="18"/>
          <w:szCs w:val="18"/>
        </w:rPr>
        <w:t xml:space="preserve">re </w:t>
      </w:r>
      <w:r w:rsidR="00805FF8" w:rsidRPr="00392618">
        <w:rPr>
          <w:rFonts w:ascii="Times New Roman" w:hAnsi="Times New Roman" w:cs="Times New Roman"/>
          <w:sz w:val="18"/>
          <w:szCs w:val="18"/>
        </w:rPr>
        <w:t>can significantly impact the product critical quality attributes (CQAs), even for bio</w:t>
      </w:r>
      <w:r w:rsidR="00D31B58" w:rsidRPr="00392618">
        <w:rPr>
          <w:rFonts w:ascii="Times New Roman" w:hAnsi="Times New Roman" w:cs="Times New Roman"/>
          <w:sz w:val="18"/>
          <w:szCs w:val="18"/>
        </w:rPr>
        <w:t>similars</w:t>
      </w:r>
      <w:r w:rsidR="00376B2B" w:rsidRPr="00392618">
        <w:rPr>
          <w:rFonts w:ascii="Times New Roman" w:hAnsi="Times New Roman" w:cs="Times New Roman"/>
          <w:sz w:val="18"/>
          <w:szCs w:val="18"/>
        </w:rPr>
        <w:t xml:space="preserve"> </w:t>
      </w:r>
      <w:r w:rsidR="00805FF8" w:rsidRPr="00392618">
        <w:rPr>
          <w:rFonts w:ascii="Times New Roman" w:hAnsi="Times New Roman" w:cs="Times New Roman"/>
          <w:sz w:val="18"/>
          <w:szCs w:val="18"/>
        </w:rPr>
        <w:t xml:space="preserve">having </w:t>
      </w:r>
      <w:r w:rsidR="007E1D16">
        <w:rPr>
          <w:rFonts w:ascii="Times New Roman" w:hAnsi="Times New Roman" w:cs="Times New Roman"/>
          <w:sz w:val="18"/>
          <w:szCs w:val="18"/>
        </w:rPr>
        <w:t>the similar</w:t>
      </w:r>
      <w:r w:rsidR="00805FF8" w:rsidRPr="00392618">
        <w:rPr>
          <w:rFonts w:ascii="Times New Roman" w:hAnsi="Times New Roman" w:cs="Times New Roman"/>
          <w:sz w:val="18"/>
          <w:szCs w:val="18"/>
        </w:rPr>
        <w:t xml:space="preserve"> formulations</w:t>
      </w:r>
      <w:r w:rsidR="0031450F" w:rsidRPr="00392618">
        <w:rPr>
          <w:rFonts w:ascii="Times New Roman" w:hAnsi="Times New Roman" w:cs="Times New Roman"/>
          <w:sz w:val="18"/>
          <w:szCs w:val="18"/>
        </w:rPr>
        <w:t xml:space="preserve">. </w:t>
      </w:r>
      <w:r w:rsidR="00805FF8" w:rsidRPr="00392618">
        <w:rPr>
          <w:rFonts w:ascii="Times New Roman" w:hAnsi="Times New Roman" w:cs="Times New Roman"/>
          <w:sz w:val="18"/>
          <w:szCs w:val="18"/>
        </w:rPr>
        <w:t xml:space="preserve">Therefore, a better understanding of product temperature variations and their impact on meaningful critical quality attributes (CQAs) will enable development of sampling strategies to better assess the influence of distribution in CQAs like protein chemical degradation and aggregation on the probability of releasing out of specification product.   </w:t>
      </w:r>
    </w:p>
    <w:p w:rsidR="0031450F" w:rsidRPr="00392618" w:rsidRDefault="0031450F" w:rsidP="00805FF8">
      <w:pPr>
        <w:jc w:val="both"/>
        <w:rPr>
          <w:rFonts w:ascii="Times New Roman" w:hAnsi="Times New Roman" w:cs="Times New Roman"/>
          <w:sz w:val="18"/>
          <w:szCs w:val="18"/>
        </w:rPr>
      </w:pPr>
    </w:p>
    <w:p w:rsidR="0031450F" w:rsidRPr="002F75F4" w:rsidRDefault="0031450F" w:rsidP="0031450F">
      <w:pPr>
        <w:pStyle w:val="BodyText"/>
        <w:spacing w:before="90" w:line="280" w:lineRule="auto"/>
        <w:jc w:val="both"/>
        <w:rPr>
          <w:rFonts w:ascii="Times New Roman" w:hAnsi="Times New Roman" w:cs="Times New Roman"/>
          <w:b/>
        </w:rPr>
      </w:pPr>
      <w:r w:rsidRPr="002F75F4">
        <w:rPr>
          <w:rFonts w:ascii="Times New Roman" w:hAnsi="Times New Roman" w:cs="Times New Roman"/>
          <w:b/>
        </w:rPr>
        <w:t xml:space="preserve">Methodology &amp; Theoretical Orientation: </w:t>
      </w:r>
    </w:p>
    <w:p w:rsidR="00805FF8" w:rsidRPr="00392618" w:rsidRDefault="00DA7559" w:rsidP="00EE1080">
      <w:pPr>
        <w:spacing w:after="60"/>
        <w:jc w:val="both"/>
        <w:rPr>
          <w:rFonts w:ascii="Times New Roman" w:hAnsi="Times New Roman" w:cs="Times New Roman"/>
          <w:sz w:val="18"/>
          <w:szCs w:val="18"/>
        </w:rPr>
      </w:pPr>
      <w:r>
        <w:rPr>
          <w:rFonts w:ascii="Times New Roman" w:hAnsi="Times New Roman" w:cs="Times New Roman"/>
          <w:sz w:val="18"/>
          <w:szCs w:val="18"/>
        </w:rPr>
        <w:t>Currently</w:t>
      </w:r>
      <w:r w:rsidR="00805FF8" w:rsidRPr="00392618">
        <w:rPr>
          <w:rFonts w:ascii="Times New Roman" w:hAnsi="Times New Roman" w:cs="Times New Roman"/>
          <w:sz w:val="18"/>
          <w:szCs w:val="18"/>
        </w:rPr>
        <w:t xml:space="preserve">, we </w:t>
      </w:r>
      <w:r w:rsidR="00060EE6" w:rsidRPr="00392618">
        <w:rPr>
          <w:rFonts w:ascii="Times New Roman" w:hAnsi="Times New Roman" w:cs="Times New Roman"/>
          <w:sz w:val="18"/>
          <w:szCs w:val="18"/>
        </w:rPr>
        <w:t>are evaluating</w:t>
      </w:r>
      <w:r w:rsidR="00805FF8" w:rsidRPr="00392618">
        <w:rPr>
          <w:rFonts w:ascii="Times New Roman" w:hAnsi="Times New Roman" w:cs="Times New Roman"/>
          <w:sz w:val="18"/>
          <w:szCs w:val="18"/>
        </w:rPr>
        <w:t xml:space="preserve"> the variations in CQAs related to protein degrad</w:t>
      </w:r>
      <w:r w:rsidR="00D7121B">
        <w:rPr>
          <w:rFonts w:ascii="Times New Roman" w:hAnsi="Times New Roman" w:cs="Times New Roman"/>
          <w:sz w:val="18"/>
          <w:szCs w:val="18"/>
        </w:rPr>
        <w:t xml:space="preserve">ation </w:t>
      </w:r>
      <w:r w:rsidR="00266AF5" w:rsidRPr="00392618">
        <w:rPr>
          <w:rFonts w:ascii="Times New Roman" w:hAnsi="Times New Roman" w:cs="Times New Roman"/>
          <w:sz w:val="18"/>
          <w:szCs w:val="18"/>
        </w:rPr>
        <w:t>by:</w:t>
      </w:r>
    </w:p>
    <w:p w:rsidR="00805FF8" w:rsidRPr="00392618" w:rsidRDefault="00805FF8" w:rsidP="00805FF8">
      <w:pPr>
        <w:widowControl/>
        <w:numPr>
          <w:ilvl w:val="0"/>
          <w:numId w:val="3"/>
        </w:numPr>
        <w:jc w:val="both"/>
        <w:rPr>
          <w:rFonts w:ascii="Times New Roman" w:hAnsi="Times New Roman" w:cs="Times New Roman"/>
          <w:sz w:val="18"/>
          <w:szCs w:val="18"/>
        </w:rPr>
      </w:pPr>
      <w:r w:rsidRPr="00392618">
        <w:rPr>
          <w:rFonts w:ascii="Times New Roman" w:hAnsi="Times New Roman" w:cs="Times New Roman"/>
          <w:sz w:val="18"/>
          <w:szCs w:val="18"/>
        </w:rPr>
        <w:t>Assessing the variations in key physical properties like phase composition (i.e. phase separation and crystallinity), specific surface area, and glass transition temperature (Tg) in the product vials</w:t>
      </w:r>
      <w:r w:rsidR="006B2C4B">
        <w:rPr>
          <w:rFonts w:ascii="Times New Roman" w:hAnsi="Times New Roman" w:cs="Times New Roman"/>
          <w:sz w:val="18"/>
          <w:szCs w:val="18"/>
        </w:rPr>
        <w:t>,</w:t>
      </w:r>
      <w:r w:rsidRPr="00392618">
        <w:rPr>
          <w:rFonts w:ascii="Times New Roman" w:hAnsi="Times New Roman" w:cs="Times New Roman"/>
          <w:sz w:val="18"/>
          <w:szCs w:val="18"/>
        </w:rPr>
        <w:t xml:space="preserve"> as well as levels of </w:t>
      </w:r>
      <w:r w:rsidR="00266AF5" w:rsidRPr="00392618">
        <w:rPr>
          <w:rFonts w:ascii="Times New Roman" w:hAnsi="Times New Roman" w:cs="Times New Roman"/>
          <w:sz w:val="18"/>
          <w:szCs w:val="18"/>
        </w:rPr>
        <w:t xml:space="preserve">product </w:t>
      </w:r>
      <w:r w:rsidRPr="00392618">
        <w:rPr>
          <w:rFonts w:ascii="Times New Roman" w:hAnsi="Times New Roman" w:cs="Times New Roman"/>
          <w:sz w:val="18"/>
          <w:szCs w:val="18"/>
        </w:rPr>
        <w:t xml:space="preserve">degradation. Attempts </w:t>
      </w:r>
      <w:r w:rsidR="000721EB" w:rsidRPr="00392618">
        <w:rPr>
          <w:rFonts w:ascii="Times New Roman" w:hAnsi="Times New Roman" w:cs="Times New Roman"/>
          <w:sz w:val="18"/>
          <w:szCs w:val="18"/>
        </w:rPr>
        <w:t xml:space="preserve">are being made </w:t>
      </w:r>
      <w:r w:rsidRPr="00392618">
        <w:rPr>
          <w:rFonts w:ascii="Times New Roman" w:hAnsi="Times New Roman" w:cs="Times New Roman"/>
          <w:sz w:val="18"/>
          <w:szCs w:val="18"/>
        </w:rPr>
        <w:t>to identify the physical properties that are predictive of chemical degradation and aggregation.</w:t>
      </w:r>
    </w:p>
    <w:p w:rsidR="00805FF8" w:rsidRPr="00392618" w:rsidRDefault="00805FF8" w:rsidP="00805FF8">
      <w:pPr>
        <w:ind w:left="720"/>
        <w:jc w:val="both"/>
        <w:rPr>
          <w:rFonts w:ascii="Times New Roman" w:hAnsi="Times New Roman" w:cs="Times New Roman"/>
          <w:sz w:val="18"/>
          <w:szCs w:val="18"/>
        </w:rPr>
      </w:pPr>
      <w:r w:rsidRPr="00392618">
        <w:rPr>
          <w:rFonts w:ascii="Times New Roman" w:hAnsi="Times New Roman" w:cs="Times New Roman"/>
          <w:sz w:val="18"/>
          <w:szCs w:val="18"/>
        </w:rPr>
        <w:t xml:space="preserve"> </w:t>
      </w:r>
    </w:p>
    <w:p w:rsidR="00CE08D8" w:rsidRDefault="00CF6C41" w:rsidP="008D1674">
      <w:pPr>
        <w:widowControl/>
        <w:numPr>
          <w:ilvl w:val="0"/>
          <w:numId w:val="3"/>
        </w:numPr>
        <w:jc w:val="both"/>
        <w:rPr>
          <w:rFonts w:ascii="Times New Roman" w:hAnsi="Times New Roman" w:cs="Times New Roman"/>
          <w:sz w:val="18"/>
          <w:szCs w:val="18"/>
        </w:rPr>
      </w:pPr>
      <w:r w:rsidRPr="0008512E">
        <w:rPr>
          <w:rFonts w:ascii="Times New Roman" w:hAnsi="Times New Roman" w:cs="Times New Roman"/>
          <w:sz w:val="18"/>
          <w:szCs w:val="18"/>
        </w:rPr>
        <w:t xml:space="preserve">Quantify the </w:t>
      </w:r>
      <w:r w:rsidR="00805FF8" w:rsidRPr="0008512E">
        <w:rPr>
          <w:rFonts w:ascii="Times New Roman" w:hAnsi="Times New Roman" w:cs="Times New Roman"/>
          <w:sz w:val="18"/>
          <w:szCs w:val="18"/>
        </w:rPr>
        <w:t xml:space="preserve">position-dependent differences </w:t>
      </w:r>
      <w:r w:rsidR="006A78A1">
        <w:rPr>
          <w:rFonts w:ascii="Times New Roman" w:hAnsi="Times New Roman" w:cs="Times New Roman"/>
          <w:sz w:val="18"/>
          <w:szCs w:val="18"/>
        </w:rPr>
        <w:t xml:space="preserve">in </w:t>
      </w:r>
      <w:r w:rsidR="00805FF8" w:rsidRPr="0008512E">
        <w:rPr>
          <w:rFonts w:ascii="Times New Roman" w:hAnsi="Times New Roman" w:cs="Times New Roman"/>
          <w:sz w:val="18"/>
          <w:szCs w:val="18"/>
        </w:rPr>
        <w:t xml:space="preserve">product temperature history caused by differences in vial heat transfer coefficient </w:t>
      </w:r>
      <w:r w:rsidR="001714DA">
        <w:rPr>
          <w:rFonts w:ascii="Times New Roman" w:hAnsi="Times New Roman" w:cs="Times New Roman"/>
          <w:sz w:val="18"/>
          <w:szCs w:val="18"/>
        </w:rPr>
        <w:t xml:space="preserve">(Kv) </w:t>
      </w:r>
      <w:r w:rsidR="00805FF8" w:rsidRPr="0008512E">
        <w:rPr>
          <w:rFonts w:ascii="Times New Roman" w:hAnsi="Times New Roman" w:cs="Times New Roman"/>
          <w:sz w:val="18"/>
          <w:szCs w:val="18"/>
        </w:rPr>
        <w:t xml:space="preserve">and assess whether or not these differences are likely to cause differences in stability, particularly aggregation (which can potentially generate adverse immune response). </w:t>
      </w:r>
    </w:p>
    <w:p w:rsidR="0008512E" w:rsidRPr="0008512E" w:rsidRDefault="0008512E" w:rsidP="0008512E">
      <w:pPr>
        <w:widowControl/>
        <w:jc w:val="both"/>
        <w:rPr>
          <w:rFonts w:ascii="Times New Roman" w:hAnsi="Times New Roman" w:cs="Times New Roman"/>
          <w:sz w:val="18"/>
          <w:szCs w:val="18"/>
        </w:rPr>
      </w:pPr>
    </w:p>
    <w:p w:rsidR="00925698" w:rsidRPr="002F75F4" w:rsidRDefault="002B1539" w:rsidP="00925698">
      <w:pPr>
        <w:pStyle w:val="BodyText"/>
        <w:spacing w:before="90" w:line="280" w:lineRule="auto"/>
        <w:jc w:val="both"/>
        <w:rPr>
          <w:rFonts w:ascii="Times New Roman" w:hAnsi="Times New Roman" w:cs="Times New Roman"/>
          <w:b/>
        </w:rPr>
      </w:pPr>
      <w:r w:rsidRPr="002F75F4">
        <w:rPr>
          <w:rFonts w:ascii="Times New Roman" w:hAnsi="Times New Roman" w:cs="Times New Roman"/>
          <w:b/>
        </w:rPr>
        <w:t>Conclusion</w:t>
      </w:r>
      <w:r w:rsidR="00925698" w:rsidRPr="002F75F4">
        <w:rPr>
          <w:rFonts w:ascii="Times New Roman" w:hAnsi="Times New Roman" w:cs="Times New Roman"/>
          <w:b/>
        </w:rPr>
        <w:t xml:space="preserve">: </w:t>
      </w:r>
    </w:p>
    <w:p w:rsidR="00805FF8" w:rsidRPr="00392618" w:rsidRDefault="00805FF8" w:rsidP="00805FF8">
      <w:pPr>
        <w:jc w:val="both"/>
        <w:rPr>
          <w:rFonts w:ascii="Times New Roman" w:hAnsi="Times New Roman" w:cs="Times New Roman"/>
          <w:sz w:val="18"/>
          <w:szCs w:val="18"/>
        </w:rPr>
      </w:pPr>
      <w:r w:rsidRPr="00392618">
        <w:rPr>
          <w:rFonts w:ascii="Times New Roman" w:hAnsi="Times New Roman" w:cs="Times New Roman"/>
          <w:sz w:val="18"/>
          <w:szCs w:val="18"/>
        </w:rPr>
        <w:t xml:space="preserve">Preliminary results indicate that temperature history differences due to variations in </w:t>
      </w:r>
      <w:r w:rsidR="001714DA">
        <w:rPr>
          <w:rFonts w:ascii="Times New Roman" w:hAnsi="Times New Roman" w:cs="Times New Roman"/>
          <w:sz w:val="18"/>
          <w:szCs w:val="18"/>
        </w:rPr>
        <w:t xml:space="preserve">Kv </w:t>
      </w:r>
      <w:r w:rsidRPr="00392618">
        <w:rPr>
          <w:rFonts w:ascii="Times New Roman" w:hAnsi="Times New Roman" w:cs="Times New Roman"/>
          <w:sz w:val="18"/>
          <w:szCs w:val="18"/>
        </w:rPr>
        <w:t xml:space="preserve">are not likely to result in significant differences in stability. Significant intra-batch variations in ice nucleation temperature result in modest variations in specific surface area with possible stability consequences, but current results indicate a large difference in ice nucleation temperature between laboratory and manufacturing with likely adverse stability consequences. </w:t>
      </w:r>
    </w:p>
    <w:p w:rsidR="00805FF8" w:rsidRDefault="00805FF8" w:rsidP="00805FF8">
      <w:pPr>
        <w:jc w:val="both"/>
        <w:rPr>
          <w:rFonts w:ascii="Times New Roman" w:hAnsi="Times New Roman" w:cs="Times New Roman"/>
        </w:rPr>
      </w:pPr>
    </w:p>
    <w:p w:rsidR="002B1539" w:rsidRPr="002F75F4" w:rsidRDefault="002B1539" w:rsidP="00805FF8">
      <w:pPr>
        <w:jc w:val="both"/>
        <w:rPr>
          <w:rFonts w:ascii="Times New Roman" w:hAnsi="Times New Roman" w:cs="Times New Roman"/>
          <w:b/>
        </w:rPr>
      </w:pPr>
      <w:r w:rsidRPr="002F75F4">
        <w:rPr>
          <w:rFonts w:ascii="Times New Roman" w:hAnsi="Times New Roman" w:cs="Times New Roman"/>
          <w:b/>
          <w:sz w:val="18"/>
          <w:szCs w:val="18"/>
        </w:rPr>
        <w:t>Significance</w:t>
      </w:r>
      <w:r w:rsidRPr="002F75F4">
        <w:rPr>
          <w:rFonts w:ascii="Times New Roman" w:hAnsi="Times New Roman" w:cs="Times New Roman"/>
          <w:b/>
          <w:sz w:val="18"/>
          <w:szCs w:val="18"/>
        </w:rPr>
        <w:t>:</w:t>
      </w:r>
    </w:p>
    <w:p w:rsidR="00AB58A1" w:rsidRPr="003044B3" w:rsidRDefault="00AB58A1" w:rsidP="00AB58A1">
      <w:pPr>
        <w:jc w:val="both"/>
        <w:rPr>
          <w:rFonts w:ascii="Times New Roman" w:hAnsi="Times New Roman" w:cs="Times New Roman"/>
          <w:sz w:val="18"/>
          <w:szCs w:val="18"/>
        </w:rPr>
      </w:pPr>
      <w:r w:rsidRPr="00392618">
        <w:rPr>
          <w:rFonts w:ascii="Times New Roman" w:hAnsi="Times New Roman" w:cs="Times New Roman"/>
          <w:sz w:val="18"/>
          <w:szCs w:val="18"/>
        </w:rPr>
        <w:t>Although, the current</w:t>
      </w:r>
      <w:r w:rsidR="0076342F" w:rsidRPr="00392618">
        <w:rPr>
          <w:rFonts w:ascii="Times New Roman" w:hAnsi="Times New Roman" w:cs="Times New Roman"/>
          <w:sz w:val="18"/>
          <w:szCs w:val="18"/>
        </w:rPr>
        <w:t xml:space="preserve"> research</w:t>
      </w:r>
      <w:r w:rsidR="006E42C0">
        <w:rPr>
          <w:rFonts w:ascii="Times New Roman" w:hAnsi="Times New Roman" w:cs="Times New Roman"/>
          <w:sz w:val="18"/>
          <w:szCs w:val="18"/>
        </w:rPr>
        <w:t xml:space="preserve"> focuses on proteins</w:t>
      </w:r>
      <w:r w:rsidRPr="00392618">
        <w:rPr>
          <w:rFonts w:ascii="Times New Roman" w:hAnsi="Times New Roman" w:cs="Times New Roman"/>
          <w:sz w:val="18"/>
          <w:szCs w:val="18"/>
        </w:rPr>
        <w:t>,</w:t>
      </w:r>
      <w:r w:rsidRPr="00392618">
        <w:rPr>
          <w:rFonts w:ascii="Times New Roman" w:hAnsi="Times New Roman" w:cs="Times New Roman"/>
          <w:sz w:val="18"/>
          <w:szCs w:val="18"/>
        </w:rPr>
        <w:t xml:space="preserve"> </w:t>
      </w:r>
      <w:r w:rsidRPr="00392618">
        <w:rPr>
          <w:rFonts w:ascii="Times New Roman" w:hAnsi="Times New Roman" w:cs="Times New Roman"/>
          <w:sz w:val="18"/>
          <w:szCs w:val="18"/>
        </w:rPr>
        <w:t xml:space="preserve">the general scale-up technology will also apply to generics and vaccine products. An understanding of these </w:t>
      </w:r>
      <w:r w:rsidR="00E00B61">
        <w:rPr>
          <w:rFonts w:ascii="Times New Roman" w:hAnsi="Times New Roman" w:cs="Times New Roman"/>
          <w:sz w:val="18"/>
          <w:szCs w:val="18"/>
        </w:rPr>
        <w:t xml:space="preserve">variations </w:t>
      </w:r>
      <w:r w:rsidR="00F064EA">
        <w:rPr>
          <w:rFonts w:ascii="Times New Roman" w:hAnsi="Times New Roman" w:cs="Times New Roman"/>
          <w:sz w:val="18"/>
          <w:szCs w:val="18"/>
        </w:rPr>
        <w:t xml:space="preserve">in CQAs </w:t>
      </w:r>
      <w:r w:rsidR="006B2C4B">
        <w:rPr>
          <w:rFonts w:ascii="Times New Roman" w:hAnsi="Times New Roman" w:cs="Times New Roman"/>
          <w:sz w:val="18"/>
          <w:szCs w:val="18"/>
        </w:rPr>
        <w:t xml:space="preserve">will reduce the </w:t>
      </w:r>
      <w:r w:rsidRPr="003044B3">
        <w:rPr>
          <w:rFonts w:ascii="Times New Roman" w:hAnsi="Times New Roman" w:cs="Times New Roman"/>
          <w:sz w:val="18"/>
          <w:szCs w:val="18"/>
        </w:rPr>
        <w:t>probability of releasing out-of-specification</w:t>
      </w:r>
      <w:r w:rsidRPr="003044B3">
        <w:rPr>
          <w:rFonts w:ascii="Times New Roman" w:hAnsi="Times New Roman" w:cs="Times New Roman"/>
          <w:sz w:val="18"/>
          <w:szCs w:val="18"/>
        </w:rPr>
        <w:t xml:space="preserve"> </w:t>
      </w:r>
      <w:r w:rsidRPr="003044B3">
        <w:rPr>
          <w:rFonts w:ascii="Times New Roman" w:hAnsi="Times New Roman" w:cs="Times New Roman"/>
          <w:sz w:val="18"/>
          <w:szCs w:val="18"/>
        </w:rPr>
        <w:t>product.</w:t>
      </w:r>
    </w:p>
    <w:p w:rsidR="00595CB1" w:rsidRPr="00595CB1" w:rsidRDefault="00595CB1" w:rsidP="00595CB1">
      <w:pPr>
        <w:jc w:val="both"/>
        <w:rPr>
          <w:rFonts w:ascii="Times New Roman" w:hAnsi="Times New Roman"/>
          <w:sz w:val="18"/>
          <w:szCs w:val="18"/>
        </w:rPr>
      </w:pPr>
      <w:r w:rsidRPr="00595CB1">
        <w:rPr>
          <w:rFonts w:ascii="Times New Roman" w:hAnsi="Times New Roman"/>
          <w:sz w:val="18"/>
          <w:szCs w:val="18"/>
        </w:rPr>
        <w:t xml:space="preserve">   </w:t>
      </w:r>
    </w:p>
    <w:p w:rsidR="00805FF8" w:rsidRPr="00595CB1" w:rsidRDefault="00805FF8" w:rsidP="00805FF8">
      <w:pPr>
        <w:jc w:val="both"/>
        <w:rPr>
          <w:rFonts w:ascii="Times New Roman" w:hAnsi="Times New Roman"/>
          <w:sz w:val="18"/>
          <w:szCs w:val="18"/>
        </w:rPr>
      </w:pPr>
    </w:p>
    <w:p w:rsidR="00805FF8" w:rsidRDefault="00805FF8">
      <w:pPr>
        <w:pStyle w:val="BodyText"/>
        <w:spacing w:before="90" w:line="280" w:lineRule="auto"/>
        <w:ind w:left="100"/>
        <w:jc w:val="both"/>
      </w:pPr>
    </w:p>
    <w:p w:rsidR="00805FF8" w:rsidRDefault="00805FF8">
      <w:pPr>
        <w:pStyle w:val="BodyText"/>
        <w:spacing w:before="90" w:line="280" w:lineRule="auto"/>
        <w:ind w:left="100"/>
        <w:jc w:val="both"/>
      </w:pPr>
    </w:p>
    <w:p w:rsidR="00805FF8" w:rsidRDefault="00805FF8">
      <w:pPr>
        <w:pStyle w:val="BodyText"/>
        <w:spacing w:before="90" w:line="280" w:lineRule="auto"/>
        <w:ind w:left="100"/>
        <w:jc w:val="both"/>
      </w:pPr>
    </w:p>
    <w:p w:rsidR="00206C0A" w:rsidRDefault="00206C0A">
      <w:pPr>
        <w:pStyle w:val="BodyText"/>
        <w:spacing w:before="90" w:line="280" w:lineRule="auto"/>
        <w:ind w:left="100"/>
        <w:jc w:val="both"/>
      </w:pPr>
    </w:p>
    <w:p w:rsidR="00206C0A" w:rsidRDefault="00206C0A">
      <w:pPr>
        <w:pStyle w:val="BodyText"/>
        <w:spacing w:before="90" w:line="280" w:lineRule="auto"/>
        <w:ind w:left="100"/>
        <w:jc w:val="both"/>
      </w:pPr>
    </w:p>
    <w:p w:rsidR="003B0E42" w:rsidRDefault="003B0E42">
      <w:pPr>
        <w:pStyle w:val="BodyText"/>
        <w:spacing w:before="90" w:line="280" w:lineRule="auto"/>
        <w:ind w:left="100"/>
        <w:jc w:val="both"/>
      </w:pPr>
    </w:p>
    <w:p w:rsidR="00206C0A" w:rsidRDefault="00206C0A">
      <w:pPr>
        <w:pStyle w:val="BodyText"/>
        <w:spacing w:before="90" w:line="280" w:lineRule="auto"/>
        <w:ind w:left="100"/>
        <w:jc w:val="both"/>
      </w:pPr>
    </w:p>
    <w:p w:rsidR="00C25D04" w:rsidRPr="00C25D04" w:rsidRDefault="00C25D04">
      <w:pPr>
        <w:pStyle w:val="BodyText"/>
        <w:spacing w:before="90" w:line="280" w:lineRule="auto"/>
        <w:ind w:left="100"/>
        <w:jc w:val="both"/>
        <w:rPr>
          <w:rFonts w:ascii="Arial" w:hAnsi="Arial" w:cs="Arial"/>
          <w:b/>
          <w:sz w:val="20"/>
          <w:szCs w:val="20"/>
        </w:rPr>
      </w:pPr>
      <w:r w:rsidRPr="00C25D04">
        <w:rPr>
          <w:rFonts w:ascii="Arial" w:hAnsi="Arial" w:cs="Arial"/>
          <w:b/>
          <w:color w:val="BF5A14"/>
          <w:sz w:val="20"/>
          <w:szCs w:val="20"/>
        </w:rPr>
        <w:lastRenderedPageBreak/>
        <w:t>Image</w:t>
      </w:r>
    </w:p>
    <w:p w:rsidR="00805FF8" w:rsidRDefault="00457EFF">
      <w:pPr>
        <w:pStyle w:val="BodyText"/>
        <w:spacing w:before="90" w:line="280" w:lineRule="auto"/>
        <w:ind w:left="100"/>
        <w:jc w:val="both"/>
      </w:pPr>
      <w:r>
        <w:rPr>
          <w:noProof/>
        </w:rPr>
        <w:drawing>
          <wp:inline distT="0" distB="0" distL="0" distR="0" wp14:anchorId="2C912F8D">
            <wp:extent cx="3164205" cy="2438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4205" cy="2438400"/>
                    </a:xfrm>
                    <a:prstGeom prst="rect">
                      <a:avLst/>
                    </a:prstGeom>
                    <a:noFill/>
                  </pic:spPr>
                </pic:pic>
              </a:graphicData>
            </a:graphic>
          </wp:inline>
        </w:drawing>
      </w:r>
    </w:p>
    <w:p w:rsidR="00EF77F5" w:rsidRDefault="00EF77F5" w:rsidP="00EF77F5">
      <w:pPr>
        <w:spacing w:before="157"/>
        <w:ind w:left="100"/>
        <w:rPr>
          <w:rFonts w:ascii="Arial"/>
          <w:b/>
          <w:sz w:val="20"/>
        </w:rPr>
      </w:pPr>
      <w:r>
        <w:rPr>
          <w:rFonts w:ascii="Arial"/>
          <w:b/>
          <w:color w:val="BF5A14"/>
          <w:sz w:val="20"/>
        </w:rPr>
        <w:t>Recent publi</w:t>
      </w:r>
      <w:r w:rsidR="002E5A5B">
        <w:rPr>
          <w:rFonts w:ascii="Arial"/>
          <w:b/>
          <w:color w:val="BF5A14"/>
          <w:sz w:val="20"/>
        </w:rPr>
        <w:t xml:space="preserve">cations </w:t>
      </w:r>
      <w:r>
        <w:rPr>
          <w:rFonts w:ascii="Arial"/>
          <w:b/>
          <w:color w:val="BF5A14"/>
          <w:sz w:val="20"/>
        </w:rPr>
        <w:t xml:space="preserve"> </w:t>
      </w:r>
    </w:p>
    <w:p w:rsidR="00F96BB0" w:rsidRPr="00DB4D98" w:rsidRDefault="00F96BB0" w:rsidP="00F96BB0">
      <w:pPr>
        <w:pStyle w:val="ListParagraph"/>
        <w:numPr>
          <w:ilvl w:val="0"/>
          <w:numId w:val="2"/>
        </w:numPr>
        <w:tabs>
          <w:tab w:val="left" w:pos="384"/>
        </w:tabs>
        <w:spacing w:before="99"/>
        <w:ind w:right="118" w:hanging="283"/>
        <w:rPr>
          <w:sz w:val="18"/>
          <w:szCs w:val="18"/>
        </w:rPr>
      </w:pPr>
      <w:r>
        <w:rPr>
          <w:sz w:val="18"/>
          <w:szCs w:val="18"/>
        </w:rPr>
        <w:t xml:space="preserve">Pikal MJ, Pande P et. al. (2018) </w:t>
      </w:r>
      <w:r w:rsidRPr="00DB4D98">
        <w:rPr>
          <w:sz w:val="18"/>
          <w:szCs w:val="18"/>
        </w:rPr>
        <w:t xml:space="preserve">Impact of Natural Variations in Freeze Drying Parameters on Product Temperature History: Application of Quasi Steady State Heat and Mass </w:t>
      </w:r>
      <w:r>
        <w:rPr>
          <w:sz w:val="18"/>
          <w:szCs w:val="18"/>
        </w:rPr>
        <w:t>Transfer and Simple Statistics,</w:t>
      </w:r>
      <w:r w:rsidRPr="00DB4D98">
        <w:rPr>
          <w:sz w:val="18"/>
          <w:szCs w:val="18"/>
        </w:rPr>
        <w:t xml:space="preserve"> </w:t>
      </w:r>
      <w:r w:rsidR="002F6567">
        <w:rPr>
          <w:sz w:val="18"/>
          <w:szCs w:val="18"/>
        </w:rPr>
        <w:t>Accepted</w:t>
      </w:r>
      <w:r>
        <w:rPr>
          <w:sz w:val="18"/>
          <w:szCs w:val="18"/>
        </w:rPr>
        <w:t xml:space="preserve">, </w:t>
      </w:r>
      <w:r w:rsidRPr="00D72F4E">
        <w:rPr>
          <w:sz w:val="18"/>
          <w:szCs w:val="18"/>
        </w:rPr>
        <w:t>AAPS PharmSci Tech</w:t>
      </w:r>
      <w:r>
        <w:rPr>
          <w:sz w:val="18"/>
          <w:szCs w:val="18"/>
        </w:rPr>
        <w:t>.</w:t>
      </w:r>
    </w:p>
    <w:p w:rsidR="00D6116E" w:rsidRDefault="00D6116E" w:rsidP="00D6116E">
      <w:pPr>
        <w:pStyle w:val="ListParagraph"/>
        <w:numPr>
          <w:ilvl w:val="0"/>
          <w:numId w:val="2"/>
        </w:numPr>
        <w:tabs>
          <w:tab w:val="left" w:pos="384"/>
        </w:tabs>
        <w:spacing w:before="99"/>
        <w:ind w:right="118"/>
        <w:rPr>
          <w:sz w:val="18"/>
        </w:rPr>
      </w:pPr>
      <w:r w:rsidRPr="00D6116E">
        <w:rPr>
          <w:sz w:val="18"/>
        </w:rPr>
        <w:t xml:space="preserve">Fang R, </w:t>
      </w:r>
      <w:r>
        <w:rPr>
          <w:sz w:val="18"/>
        </w:rPr>
        <w:t xml:space="preserve">et. al. (2018) </w:t>
      </w:r>
      <w:r w:rsidRPr="00D6116E">
        <w:rPr>
          <w:sz w:val="18"/>
        </w:rPr>
        <w:t>Effect of Controlled Ice Nucleation on Stability of Lactate Dehydrogenase During Freeze-Drying.</w:t>
      </w:r>
      <w:r>
        <w:rPr>
          <w:sz w:val="18"/>
        </w:rPr>
        <w:t xml:space="preserve"> </w:t>
      </w:r>
      <w:r w:rsidR="00ED5F00">
        <w:rPr>
          <w:sz w:val="18"/>
        </w:rPr>
        <w:t xml:space="preserve">J Pharm Sci. </w:t>
      </w:r>
      <w:r w:rsidRPr="00D6116E">
        <w:rPr>
          <w:sz w:val="18"/>
        </w:rPr>
        <w:t>Mar;107(3):824-830.</w:t>
      </w:r>
    </w:p>
    <w:p w:rsidR="00BF3F99" w:rsidRPr="001751DA" w:rsidRDefault="00BF3F99" w:rsidP="00BF3F99">
      <w:pPr>
        <w:pStyle w:val="ListParagraph"/>
        <w:numPr>
          <w:ilvl w:val="0"/>
          <w:numId w:val="2"/>
        </w:numPr>
        <w:tabs>
          <w:tab w:val="left" w:pos="384"/>
        </w:tabs>
        <w:spacing w:before="99"/>
        <w:ind w:right="118"/>
        <w:rPr>
          <w:sz w:val="18"/>
        </w:rPr>
      </w:pPr>
      <w:r w:rsidRPr="005724AC">
        <w:rPr>
          <w:sz w:val="18"/>
        </w:rPr>
        <w:t>Roland, D. (2015, Sep 22). New weapon in push to lower U.S. biotech drug prices; in Europe, uptake of biosimilars has been slowed by safety concerns, low awarenes</w:t>
      </w:r>
      <w:r>
        <w:rPr>
          <w:sz w:val="18"/>
        </w:rPr>
        <w:t>s. Wall Street Journal (Online).</w:t>
      </w:r>
    </w:p>
    <w:p w:rsidR="00F96BB0" w:rsidRDefault="00F96BB0" w:rsidP="00F96BB0">
      <w:pPr>
        <w:pStyle w:val="ListParagraph"/>
        <w:numPr>
          <w:ilvl w:val="0"/>
          <w:numId w:val="2"/>
        </w:numPr>
        <w:tabs>
          <w:tab w:val="left" w:pos="384"/>
        </w:tabs>
        <w:spacing w:before="99"/>
        <w:ind w:right="118"/>
        <w:rPr>
          <w:sz w:val="18"/>
        </w:rPr>
      </w:pPr>
      <w:r w:rsidRPr="006B0D3E">
        <w:rPr>
          <w:sz w:val="18"/>
        </w:rPr>
        <w:t>Moorthy BS, Iyer LK, and Topp EM. (2015). Mass spectrometric approaches to study protein structure and interactions in lyophilized powders. Journal of Visualized E</w:t>
      </w:r>
      <w:r>
        <w:rPr>
          <w:sz w:val="18"/>
        </w:rPr>
        <w:t>xperiments (JoVE) (98), e52503.</w:t>
      </w:r>
    </w:p>
    <w:p w:rsidR="00F27943" w:rsidRDefault="00F27943" w:rsidP="00F27943">
      <w:pPr>
        <w:pStyle w:val="ListParagraph"/>
        <w:numPr>
          <w:ilvl w:val="0"/>
          <w:numId w:val="2"/>
        </w:numPr>
        <w:tabs>
          <w:tab w:val="left" w:pos="384"/>
        </w:tabs>
        <w:spacing w:before="99"/>
        <w:ind w:right="118"/>
        <w:rPr>
          <w:sz w:val="18"/>
        </w:rPr>
      </w:pPr>
      <w:r w:rsidRPr="00F27943">
        <w:rPr>
          <w:sz w:val="18"/>
        </w:rPr>
        <w:t>Xu Y, et al.. (2014). Protein Quantity on the Air-Solid Interface Determines degradation Rates of Human Growth Hormone in Lyophilized Samples. J. Pharm. Sci., (103), 1356-1366.</w:t>
      </w:r>
    </w:p>
    <w:p w:rsidR="00F96BB0" w:rsidRDefault="00F96BB0" w:rsidP="00F96BB0">
      <w:pPr>
        <w:pStyle w:val="ListParagraph"/>
        <w:numPr>
          <w:ilvl w:val="0"/>
          <w:numId w:val="2"/>
        </w:numPr>
        <w:tabs>
          <w:tab w:val="left" w:pos="384"/>
        </w:tabs>
        <w:spacing w:before="99"/>
        <w:ind w:right="118"/>
        <w:rPr>
          <w:sz w:val="18"/>
        </w:rPr>
      </w:pPr>
      <w:r w:rsidRPr="006B0D3E">
        <w:rPr>
          <w:sz w:val="18"/>
        </w:rPr>
        <w:t>Moorthy BS, Schultz S, Kim S, and Topp EM. (2014). Predicting protein aggregation during storage in lyophilized solids using solid state amide hydrogen/deuterium exchange with mass spectrometric analysis (ssHDX-MS). Molecular Pharma</w:t>
      </w:r>
      <w:r>
        <w:rPr>
          <w:sz w:val="18"/>
        </w:rPr>
        <w:t>ceutics, 11/6: 1869-1879.</w:t>
      </w:r>
    </w:p>
    <w:p w:rsidR="00805FF8" w:rsidRDefault="00805FF8">
      <w:pPr>
        <w:pStyle w:val="BodyText"/>
        <w:spacing w:before="90" w:line="280" w:lineRule="auto"/>
        <w:ind w:left="100"/>
        <w:jc w:val="both"/>
      </w:pPr>
    </w:p>
    <w:p w:rsidR="00AE3E37" w:rsidRPr="00F96BB0" w:rsidRDefault="00A9710C" w:rsidP="00F96BB0">
      <w:pPr>
        <w:pStyle w:val="Heading3"/>
        <w:spacing w:before="74"/>
        <w:ind w:left="0"/>
      </w:pPr>
      <w:r>
        <w:rPr>
          <w:b w:val="0"/>
        </w:rPr>
        <w:br w:type="column"/>
      </w:r>
    </w:p>
    <w:p w:rsidR="00A20502" w:rsidRDefault="00A20502">
      <w:pPr>
        <w:spacing w:before="157"/>
        <w:ind w:left="100"/>
        <w:rPr>
          <w:rFonts w:ascii="Arial"/>
          <w:b/>
          <w:color w:val="BF5A14"/>
          <w:sz w:val="20"/>
        </w:rPr>
      </w:pPr>
    </w:p>
    <w:p w:rsidR="00AE3E37" w:rsidRDefault="00AE3E37">
      <w:pPr>
        <w:pStyle w:val="BodyText"/>
        <w:spacing w:before="82" w:line="200" w:lineRule="exact"/>
        <w:ind w:left="383" w:right="118" w:hanging="284"/>
        <w:jc w:val="both"/>
        <w:rPr>
          <w:rFonts w:ascii="Calibri" w:hAnsi="Calibri"/>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815B72">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F2AB0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rsidR="00AE3E37" w:rsidRDefault="0091564D" w:rsidP="00404E5B">
      <w:pPr>
        <w:spacing w:before="92"/>
        <w:ind w:right="4234"/>
        <w:rPr>
          <w:rFonts w:ascii="Arial"/>
        </w:rPr>
      </w:pPr>
      <w:r w:rsidRPr="0091564D">
        <w:rPr>
          <w:rFonts w:ascii="Arial"/>
          <w:noProof/>
          <w:color w:val="BF5A14"/>
        </w:rPr>
        <w:drawing>
          <wp:anchor distT="0" distB="0" distL="114300" distR="114300" simplePos="0" relativeHeight="251658240" behindDoc="1" locked="0" layoutInCell="1" allowOverlap="1">
            <wp:simplePos x="0" y="0"/>
            <wp:positionH relativeFrom="margin">
              <wp:align>left</wp:align>
            </wp:positionH>
            <wp:positionV relativeFrom="paragraph">
              <wp:posOffset>53340</wp:posOffset>
            </wp:positionV>
            <wp:extent cx="747395" cy="752475"/>
            <wp:effectExtent l="0" t="0" r="0" b="9525"/>
            <wp:wrapTight wrapText="bothSides">
              <wp:wrapPolygon edited="0">
                <wp:start x="0" y="0"/>
                <wp:lineTo x="0" y="21327"/>
                <wp:lineTo x="20921" y="21327"/>
                <wp:lineTo x="20921" y="0"/>
                <wp:lineTo x="0" y="0"/>
              </wp:wrapPolygon>
            </wp:wrapTight>
            <wp:docPr id="17" name="Picture 17" descr="C:\Users\pandep\Desktop\My Pic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andep\Desktop\My Pic3.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7395" cy="752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4E5B">
        <w:rPr>
          <w:rFonts w:ascii="Arial"/>
          <w:color w:val="BF5A14"/>
        </w:rPr>
        <w:t xml:space="preserve">                                          </w:t>
      </w:r>
      <w:r w:rsidR="00A9710C">
        <w:rPr>
          <w:rFonts w:ascii="Arial"/>
          <w:color w:val="BF5A14"/>
        </w:rPr>
        <w:t>Biography</w:t>
      </w:r>
      <w:r>
        <w:rPr>
          <w:rFonts w:ascii="Arial"/>
          <w:color w:val="BF5A14"/>
        </w:rPr>
        <w:t xml:space="preserve"> (150 word l</w:t>
      </w:r>
      <w:r w:rsidR="00404E5B">
        <w:rPr>
          <w:rFonts w:ascii="Arial"/>
          <w:color w:val="BF5A14"/>
        </w:rPr>
        <w:t>imit)</w:t>
      </w:r>
    </w:p>
    <w:p w:rsidR="00802C73" w:rsidRDefault="00802C73" w:rsidP="00802C73">
      <w:pPr>
        <w:jc w:val="both"/>
        <w:rPr>
          <w:rFonts w:ascii="Minion Pro"/>
          <w:sz w:val="24"/>
        </w:rPr>
        <w:sectPr w:rsidR="00802C73">
          <w:type w:val="continuous"/>
          <w:pgSz w:w="11910" w:h="16840"/>
          <w:pgMar w:top="1740" w:right="600" w:bottom="840" w:left="620" w:header="720" w:footer="720" w:gutter="0"/>
          <w:cols w:space="720"/>
        </w:sectPr>
      </w:pPr>
      <w:r>
        <w:t>Dr. Paritosh Pande did his Postdoctoral fellowship at Prof. Michael J. Pikal’s lab at the Department of Pharmaceutical Sciences at the University of Connecticut and is currently Research Scientist at R&amp;D Center of Excellence of IMA Life North America Inc. He received his Bachelor’s degree in Chemistry with a focus on drugs and dyes, Master’s degree in Biochemistry with a focus on clinical chemistry from University of Mumbai and Ph.D. in Chemistry in 2012 from University of Connecticut. At the product development front, Paritosh is currently utilizing his protein biochemistry expertise to study the effect of formulation and lyophilization process variations on aggregation and chemical degradation of recombinant and therapeutic proteins formulations. As part of</w:t>
      </w:r>
      <w:r w:rsidR="00CD40B3">
        <w:t xml:space="preserve"> R&amp;D</w:t>
      </w:r>
      <w:bookmarkStart w:id="0" w:name="_GoBack"/>
      <w:bookmarkEnd w:id="0"/>
      <w:r>
        <w:t xml:space="preserve"> team at IMA life, Paritosh also designs and executes the lyo cycle transfer and scale-up </w:t>
      </w:r>
      <w:r w:rsidR="00BE7E74">
        <w:t>studies</w:t>
      </w:r>
      <w:r>
        <w:t xml:space="preserve"> for customers at the IMA development lab and at manufacturing sites of pharma </w:t>
      </w:r>
      <w:r w:rsidR="003A0098">
        <w:t xml:space="preserve">and biotech </w:t>
      </w:r>
      <w:r>
        <w:t xml:space="preserve">companies. </w:t>
      </w:r>
    </w:p>
    <w:p w:rsidR="00802C73" w:rsidRDefault="00802C73">
      <w:pPr>
        <w:spacing w:before="62"/>
        <w:ind w:left="4217" w:right="4235"/>
        <w:jc w:val="center"/>
        <w:rPr>
          <w:rFonts w:ascii="Arial"/>
          <w:sz w:val="14"/>
        </w:rPr>
      </w:pPr>
    </w:p>
    <w:p w:rsidR="00802C73" w:rsidRDefault="00802C73" w:rsidP="00802C73">
      <w:pPr>
        <w:spacing w:line="204" w:lineRule="exact"/>
        <w:jc w:val="center"/>
      </w:pPr>
      <w:r>
        <w:t xml:space="preserve">Email: </w:t>
      </w:r>
      <w:hyperlink r:id="rId12" w:history="1">
        <w:r w:rsidRPr="001F6E7E">
          <w:rPr>
            <w:rStyle w:val="Hyperlink"/>
          </w:rPr>
          <w:t>paritosh.pande@imalife.com</w:t>
        </w:r>
      </w:hyperlink>
    </w:p>
    <w:p w:rsidR="00802C73" w:rsidRDefault="00802C73" w:rsidP="00802C73">
      <w:pPr>
        <w:spacing w:line="204" w:lineRule="exact"/>
        <w:jc w:val="center"/>
      </w:pPr>
    </w:p>
    <w:p w:rsidR="00AE3E37" w:rsidRDefault="00815B72">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35030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892A4D" w:rsidRDefault="00892A4D" w:rsidP="00892A4D">
      <w:pPr>
        <w:jc w:val="both"/>
        <w:rPr>
          <w:rFonts w:ascii="Minion Pro"/>
          <w:sz w:val="24"/>
        </w:rPr>
        <w:sectPr w:rsidR="00892A4D">
          <w:type w:val="continuous"/>
          <w:pgSz w:w="11910" w:h="16840"/>
          <w:pgMar w:top="1740" w:right="600" w:bottom="840" w:left="620" w:header="720" w:footer="720" w:gutter="0"/>
          <w:cols w:space="720"/>
        </w:sectPr>
      </w:pPr>
    </w:p>
    <w:p w:rsidR="00892A4D" w:rsidRDefault="00892A4D" w:rsidP="00815B72">
      <w:pPr>
        <w:spacing w:line="204" w:lineRule="exact"/>
      </w:pPr>
    </w:p>
    <w:p w:rsidR="00815B72" w:rsidRDefault="00A9710C" w:rsidP="00815B72">
      <w:pPr>
        <w:spacing w:line="204" w:lineRule="exact"/>
        <w:rPr>
          <w:rFonts w:ascii="Calibri" w:hAnsi="Calibri"/>
        </w:rPr>
      </w:pPr>
      <w:r>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4199" w:rsidRDefault="00574199">
      <w:r>
        <w:separator/>
      </w:r>
    </w:p>
  </w:endnote>
  <w:endnote w:type="continuationSeparator" w:id="0">
    <w:p w:rsidR="00574199" w:rsidRDefault="00574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w:altName w:val="Times New Roman"/>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815B72">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4199" w:rsidRDefault="00574199">
      <w:r>
        <w:separator/>
      </w:r>
    </w:p>
  </w:footnote>
  <w:footnote w:type="continuationSeparator" w:id="0">
    <w:p w:rsidR="00574199" w:rsidRDefault="005741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815B72">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234068D"/>
    <w:multiLevelType w:val="hybridMultilevel"/>
    <w:tmpl w:val="842AAE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6162"/>
    <w:rsid w:val="00060EE6"/>
    <w:rsid w:val="00070835"/>
    <w:rsid w:val="000721EB"/>
    <w:rsid w:val="0008512E"/>
    <w:rsid w:val="000C4E8A"/>
    <w:rsid w:val="000E2911"/>
    <w:rsid w:val="00112CAC"/>
    <w:rsid w:val="001263DF"/>
    <w:rsid w:val="00153981"/>
    <w:rsid w:val="0015498C"/>
    <w:rsid w:val="001714DA"/>
    <w:rsid w:val="001751DA"/>
    <w:rsid w:val="001865ED"/>
    <w:rsid w:val="001A4CEC"/>
    <w:rsid w:val="001B3677"/>
    <w:rsid w:val="001E7D89"/>
    <w:rsid w:val="00206C0A"/>
    <w:rsid w:val="00266AF5"/>
    <w:rsid w:val="00267D5F"/>
    <w:rsid w:val="00276070"/>
    <w:rsid w:val="002A7964"/>
    <w:rsid w:val="002B1539"/>
    <w:rsid w:val="002E5A5B"/>
    <w:rsid w:val="002F6567"/>
    <w:rsid w:val="002F75F4"/>
    <w:rsid w:val="003044B3"/>
    <w:rsid w:val="0031450F"/>
    <w:rsid w:val="003251B0"/>
    <w:rsid w:val="0035522A"/>
    <w:rsid w:val="00376B2B"/>
    <w:rsid w:val="003862D8"/>
    <w:rsid w:val="00392618"/>
    <w:rsid w:val="003A0098"/>
    <w:rsid w:val="003B0E42"/>
    <w:rsid w:val="003C7CAA"/>
    <w:rsid w:val="003D255C"/>
    <w:rsid w:val="00404E5B"/>
    <w:rsid w:val="00407695"/>
    <w:rsid w:val="00414F7B"/>
    <w:rsid w:val="004355DC"/>
    <w:rsid w:val="00457EFF"/>
    <w:rsid w:val="004749B4"/>
    <w:rsid w:val="004B6B02"/>
    <w:rsid w:val="004F3523"/>
    <w:rsid w:val="005460CB"/>
    <w:rsid w:val="005724AC"/>
    <w:rsid w:val="00574199"/>
    <w:rsid w:val="0058194D"/>
    <w:rsid w:val="00595CB1"/>
    <w:rsid w:val="005B3A56"/>
    <w:rsid w:val="006060CE"/>
    <w:rsid w:val="0063497F"/>
    <w:rsid w:val="00665161"/>
    <w:rsid w:val="006A78A1"/>
    <w:rsid w:val="006B2C4B"/>
    <w:rsid w:val="006E42C0"/>
    <w:rsid w:val="0076342F"/>
    <w:rsid w:val="00777DFB"/>
    <w:rsid w:val="007B2836"/>
    <w:rsid w:val="007C629A"/>
    <w:rsid w:val="007E1D16"/>
    <w:rsid w:val="007F2AE9"/>
    <w:rsid w:val="00802C73"/>
    <w:rsid w:val="00805FF8"/>
    <w:rsid w:val="00815B72"/>
    <w:rsid w:val="00857A33"/>
    <w:rsid w:val="00873DF0"/>
    <w:rsid w:val="00892A4D"/>
    <w:rsid w:val="008A2C6B"/>
    <w:rsid w:val="008C3F95"/>
    <w:rsid w:val="008E7111"/>
    <w:rsid w:val="0091564D"/>
    <w:rsid w:val="0092220D"/>
    <w:rsid w:val="00925698"/>
    <w:rsid w:val="00925B26"/>
    <w:rsid w:val="009B16CA"/>
    <w:rsid w:val="009B2D44"/>
    <w:rsid w:val="009B3881"/>
    <w:rsid w:val="00A20502"/>
    <w:rsid w:val="00A9710C"/>
    <w:rsid w:val="00A97DD4"/>
    <w:rsid w:val="00AB58A1"/>
    <w:rsid w:val="00AC0EAC"/>
    <w:rsid w:val="00AC3AFD"/>
    <w:rsid w:val="00AE3E37"/>
    <w:rsid w:val="00AF12E2"/>
    <w:rsid w:val="00B179A3"/>
    <w:rsid w:val="00B21A57"/>
    <w:rsid w:val="00B603BC"/>
    <w:rsid w:val="00BE7E74"/>
    <w:rsid w:val="00BF3F99"/>
    <w:rsid w:val="00C25D04"/>
    <w:rsid w:val="00C33602"/>
    <w:rsid w:val="00C33E24"/>
    <w:rsid w:val="00CA55C1"/>
    <w:rsid w:val="00CA55D4"/>
    <w:rsid w:val="00CD40B3"/>
    <w:rsid w:val="00CD4C54"/>
    <w:rsid w:val="00CD6F55"/>
    <w:rsid w:val="00CE08D8"/>
    <w:rsid w:val="00CF6C41"/>
    <w:rsid w:val="00D041ED"/>
    <w:rsid w:val="00D31B58"/>
    <w:rsid w:val="00D57D92"/>
    <w:rsid w:val="00D6116E"/>
    <w:rsid w:val="00D652D3"/>
    <w:rsid w:val="00D7121B"/>
    <w:rsid w:val="00D72F4E"/>
    <w:rsid w:val="00DA7559"/>
    <w:rsid w:val="00DD353E"/>
    <w:rsid w:val="00DD77A2"/>
    <w:rsid w:val="00DE4F69"/>
    <w:rsid w:val="00E00B61"/>
    <w:rsid w:val="00E51FF5"/>
    <w:rsid w:val="00E961DF"/>
    <w:rsid w:val="00ED1658"/>
    <w:rsid w:val="00ED5F00"/>
    <w:rsid w:val="00EE1080"/>
    <w:rsid w:val="00EF77F5"/>
    <w:rsid w:val="00F064EA"/>
    <w:rsid w:val="00F27943"/>
    <w:rsid w:val="00F44498"/>
    <w:rsid w:val="00F60D45"/>
    <w:rsid w:val="00F72EEA"/>
    <w:rsid w:val="00F84CAE"/>
    <w:rsid w:val="00F96BB0"/>
    <w:rsid w:val="00FB45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682D45A-7465-4315-9C01-416BC9FC3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02C7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8939027">
      <w:bodyDiv w:val="1"/>
      <w:marLeft w:val="0"/>
      <w:marRight w:val="0"/>
      <w:marTop w:val="0"/>
      <w:marBottom w:val="0"/>
      <w:divBdr>
        <w:top w:val="none" w:sz="0" w:space="0" w:color="auto"/>
        <w:left w:val="none" w:sz="0" w:space="0" w:color="auto"/>
        <w:bottom w:val="none" w:sz="0" w:space="0" w:color="auto"/>
        <w:right w:val="none" w:sz="0" w:space="0" w:color="auto"/>
      </w:divBdr>
      <w:divsChild>
        <w:div w:id="16186371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aritosh.pande@imalife.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BECCB-25FD-4C0C-97CC-8CF2A770A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756</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Paritosh Pande</cp:lastModifiedBy>
  <cp:revision>27</cp:revision>
  <dcterms:created xsi:type="dcterms:W3CDTF">2018-05-05T18:13:00Z</dcterms:created>
  <dcterms:modified xsi:type="dcterms:W3CDTF">2018-05-05T18:37:00Z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