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29B" w:rsidRDefault="0033529B" w:rsidP="00FD7C74">
      <w:pPr>
        <w:pStyle w:val="NormalWeb"/>
        <w:shd w:val="clear" w:color="auto" w:fill="FFFFFF"/>
        <w:rPr>
          <w:rStyle w:val="Strong"/>
        </w:rPr>
      </w:pPr>
    </w:p>
    <w:p w:rsidR="0033529B" w:rsidRDefault="0033529B" w:rsidP="00FD7C74">
      <w:pPr>
        <w:pStyle w:val="NormalWeb"/>
        <w:shd w:val="clear" w:color="auto" w:fill="FFFFFF"/>
        <w:rPr>
          <w:rStyle w:val="Strong"/>
          <w:rFonts w:asciiTheme="minorHAnsi" w:hAnsiTheme="minorHAnsi"/>
          <w:b w:val="0"/>
          <w:sz w:val="28"/>
          <w:szCs w:val="28"/>
        </w:rPr>
      </w:pPr>
      <w:r w:rsidRPr="0033529B">
        <w:rPr>
          <w:rStyle w:val="Strong"/>
          <w:rFonts w:asciiTheme="minorHAnsi" w:hAnsiTheme="minorHAnsi"/>
          <w:sz w:val="28"/>
          <w:szCs w:val="28"/>
        </w:rPr>
        <w:t>Abstract:</w:t>
      </w:r>
      <w:r w:rsidRPr="0033529B">
        <w:rPr>
          <w:rStyle w:val="Strong"/>
          <w:rFonts w:asciiTheme="minorHAnsi" w:hAnsiTheme="minorHAnsi"/>
          <w:b w:val="0"/>
          <w:sz w:val="28"/>
          <w:szCs w:val="28"/>
        </w:rPr>
        <w:t xml:space="preserve"> </w:t>
      </w:r>
    </w:p>
    <w:p w:rsidR="00FD7C74" w:rsidRPr="0033529B" w:rsidRDefault="00FD7C74" w:rsidP="00FD7C74">
      <w:pPr>
        <w:pStyle w:val="NormalWeb"/>
        <w:shd w:val="clear" w:color="auto" w:fill="FFFFFF"/>
        <w:rPr>
          <w:rFonts w:asciiTheme="minorHAnsi" w:hAnsiTheme="minorHAnsi"/>
          <w:sz w:val="28"/>
          <w:szCs w:val="28"/>
        </w:rPr>
      </w:pPr>
      <w:r w:rsidRPr="0033529B">
        <w:rPr>
          <w:rStyle w:val="Strong"/>
          <w:rFonts w:asciiTheme="minorHAnsi" w:hAnsiTheme="minorHAnsi"/>
          <w:b w:val="0"/>
          <w:sz w:val="28"/>
          <w:szCs w:val="28"/>
        </w:rPr>
        <w:t xml:space="preserve">It is of utmost importance to deliver protein in safe and efficacious form from the </w:t>
      </w:r>
      <w:proofErr w:type="spellStart"/>
      <w:r w:rsidR="0033529B">
        <w:rPr>
          <w:rStyle w:val="Strong"/>
          <w:rFonts w:asciiTheme="minorHAnsi" w:hAnsiTheme="minorHAnsi"/>
          <w:b w:val="0"/>
          <w:sz w:val="28"/>
          <w:szCs w:val="28"/>
        </w:rPr>
        <w:t>n</w:t>
      </w:r>
      <w:r w:rsidRPr="0033529B">
        <w:rPr>
          <w:rStyle w:val="Strong"/>
          <w:rFonts w:asciiTheme="minorHAnsi" w:hAnsiTheme="minorHAnsi"/>
          <w:b w:val="0"/>
          <w:sz w:val="28"/>
          <w:szCs w:val="28"/>
        </w:rPr>
        <w:t>ano</w:t>
      </w:r>
      <w:proofErr w:type="spellEnd"/>
      <w:r w:rsidRPr="0033529B">
        <w:rPr>
          <w:rStyle w:val="Strong"/>
          <w:rFonts w:asciiTheme="minorHAnsi" w:hAnsiTheme="minorHAnsi"/>
          <w:b w:val="0"/>
          <w:sz w:val="28"/>
          <w:szCs w:val="28"/>
        </w:rPr>
        <w:t xml:space="preserve"> particulate delivery system </w:t>
      </w:r>
      <w:r w:rsidR="00601012" w:rsidRPr="0033529B">
        <w:rPr>
          <w:rStyle w:val="Strong"/>
          <w:rFonts w:asciiTheme="minorHAnsi" w:hAnsiTheme="minorHAnsi"/>
          <w:b w:val="0"/>
          <w:sz w:val="28"/>
          <w:szCs w:val="28"/>
        </w:rPr>
        <w:t xml:space="preserve">knowing that </w:t>
      </w:r>
      <w:r w:rsidR="00601012" w:rsidRPr="0033529B">
        <w:rPr>
          <w:rFonts w:asciiTheme="minorHAnsi" w:hAnsiTheme="minorHAnsi"/>
          <w:sz w:val="28"/>
          <w:szCs w:val="28"/>
        </w:rPr>
        <w:t>a</w:t>
      </w:r>
      <w:r w:rsidRPr="0033529B">
        <w:rPr>
          <w:rFonts w:asciiTheme="minorHAnsi" w:hAnsiTheme="minorHAnsi"/>
          <w:sz w:val="28"/>
          <w:szCs w:val="28"/>
        </w:rPr>
        <w:t xml:space="preserve">dsorption of </w:t>
      </w:r>
      <w:r w:rsidR="00601012" w:rsidRPr="0033529B">
        <w:rPr>
          <w:rFonts w:asciiTheme="minorHAnsi" w:hAnsiTheme="minorHAnsi"/>
          <w:sz w:val="28"/>
          <w:szCs w:val="28"/>
        </w:rPr>
        <w:t>p</w:t>
      </w:r>
      <w:r w:rsidRPr="0033529B">
        <w:rPr>
          <w:rFonts w:asciiTheme="minorHAnsi" w:hAnsiTheme="minorHAnsi"/>
          <w:sz w:val="28"/>
          <w:szCs w:val="28"/>
        </w:rPr>
        <w:t>roteins on to nanoparticle surfaces involves complex interactions including hydrophobic interaction, electrostatic interaction and/or interaction betw</w:t>
      </w:r>
      <w:r w:rsidR="00601012" w:rsidRPr="0033529B">
        <w:rPr>
          <w:rFonts w:asciiTheme="minorHAnsi" w:hAnsiTheme="minorHAnsi"/>
          <w:sz w:val="28"/>
          <w:szCs w:val="28"/>
        </w:rPr>
        <w:t xml:space="preserve">een adsorbed protein molecules </w:t>
      </w:r>
      <w:r w:rsidR="00AC3039" w:rsidRPr="0033529B">
        <w:rPr>
          <w:rFonts w:asciiTheme="minorHAnsi" w:hAnsiTheme="minorHAnsi"/>
          <w:sz w:val="28"/>
          <w:szCs w:val="28"/>
        </w:rPr>
        <w:t>which may lead to loss of</w:t>
      </w:r>
      <w:r w:rsidRPr="0033529B">
        <w:rPr>
          <w:rFonts w:asciiTheme="minorHAnsi" w:hAnsiTheme="minorHAnsi"/>
          <w:sz w:val="28"/>
          <w:szCs w:val="28"/>
        </w:rPr>
        <w:t xml:space="preserve"> protein stability. However, </w:t>
      </w:r>
      <w:r w:rsidR="00B271F9" w:rsidRPr="0033529B">
        <w:rPr>
          <w:rFonts w:asciiTheme="minorHAnsi" w:hAnsiTheme="minorHAnsi"/>
          <w:sz w:val="28"/>
          <w:szCs w:val="28"/>
        </w:rPr>
        <w:t>a</w:t>
      </w:r>
      <w:r w:rsidRPr="0033529B">
        <w:rPr>
          <w:rFonts w:asciiTheme="minorHAnsi" w:hAnsiTheme="minorHAnsi"/>
          <w:sz w:val="28"/>
          <w:szCs w:val="28"/>
        </w:rPr>
        <w:t>dsorption based drug delivery systems for protein drugs would be one of the simplest and most effective forms of drug if the mechanistic understanding of adsorption of proteins at solid/liquid interfaces is obtained.</w:t>
      </w:r>
      <w:r w:rsidR="00AC3039" w:rsidRPr="0033529B">
        <w:rPr>
          <w:rFonts w:asciiTheme="minorHAnsi" w:hAnsiTheme="minorHAnsi"/>
          <w:sz w:val="28"/>
          <w:szCs w:val="28"/>
        </w:rPr>
        <w:t xml:space="preserve"> Evaluation of the changes in structure of </w:t>
      </w:r>
      <w:r w:rsidR="00B271F9" w:rsidRPr="0033529B">
        <w:rPr>
          <w:rFonts w:asciiTheme="minorHAnsi" w:hAnsiTheme="minorHAnsi"/>
          <w:sz w:val="28"/>
          <w:szCs w:val="28"/>
        </w:rPr>
        <w:t>recombinant human growth hormone (</w:t>
      </w:r>
      <w:r w:rsidR="00AC3039" w:rsidRPr="0033529B">
        <w:rPr>
          <w:rFonts w:asciiTheme="minorHAnsi" w:hAnsiTheme="minorHAnsi"/>
          <w:sz w:val="28"/>
          <w:szCs w:val="28"/>
        </w:rPr>
        <w:t>r-</w:t>
      </w:r>
      <w:proofErr w:type="spellStart"/>
      <w:r w:rsidR="00AC3039" w:rsidRPr="0033529B">
        <w:rPr>
          <w:rFonts w:asciiTheme="minorHAnsi" w:hAnsiTheme="minorHAnsi"/>
          <w:sz w:val="28"/>
          <w:szCs w:val="28"/>
        </w:rPr>
        <w:t>hGH</w:t>
      </w:r>
      <w:proofErr w:type="spellEnd"/>
      <w:r w:rsidR="00B271F9" w:rsidRPr="0033529B">
        <w:rPr>
          <w:rFonts w:asciiTheme="minorHAnsi" w:hAnsiTheme="minorHAnsi"/>
          <w:sz w:val="28"/>
          <w:szCs w:val="28"/>
        </w:rPr>
        <w:t>)</w:t>
      </w:r>
      <w:r w:rsidR="00AC3039" w:rsidRPr="0033529B">
        <w:rPr>
          <w:rFonts w:asciiTheme="minorHAnsi" w:hAnsiTheme="minorHAnsi"/>
          <w:sz w:val="28"/>
          <w:szCs w:val="28"/>
        </w:rPr>
        <w:t xml:space="preserve"> upon adsorption at biodegradable </w:t>
      </w:r>
      <w:r w:rsidR="00127C8C" w:rsidRPr="00E95C7C">
        <w:rPr>
          <w:rFonts w:asciiTheme="minorHAnsi" w:hAnsiTheme="minorHAnsi"/>
          <w:sz w:val="28"/>
          <w:szCs w:val="28"/>
        </w:rPr>
        <w:t>Poly (</w:t>
      </w:r>
      <w:proofErr w:type="spellStart"/>
      <w:r w:rsidR="00127C8C" w:rsidRPr="00E95C7C">
        <w:rPr>
          <w:rFonts w:asciiTheme="minorHAnsi" w:hAnsiTheme="minorHAnsi"/>
          <w:sz w:val="28"/>
          <w:szCs w:val="28"/>
        </w:rPr>
        <w:t>lactide</w:t>
      </w:r>
      <w:proofErr w:type="spellEnd"/>
      <w:r w:rsidR="00127C8C" w:rsidRPr="00E95C7C">
        <w:rPr>
          <w:rFonts w:asciiTheme="minorHAnsi" w:hAnsiTheme="minorHAnsi"/>
          <w:sz w:val="28"/>
          <w:szCs w:val="28"/>
        </w:rPr>
        <w:t>-co-</w:t>
      </w:r>
      <w:proofErr w:type="spellStart"/>
      <w:r w:rsidR="00127C8C" w:rsidRPr="00E95C7C">
        <w:rPr>
          <w:rFonts w:asciiTheme="minorHAnsi" w:hAnsiTheme="minorHAnsi"/>
          <w:sz w:val="28"/>
          <w:szCs w:val="28"/>
        </w:rPr>
        <w:t>glycolide</w:t>
      </w:r>
      <w:proofErr w:type="spellEnd"/>
      <w:r w:rsidR="00127C8C" w:rsidRPr="00E95C7C">
        <w:rPr>
          <w:rFonts w:asciiTheme="minorHAnsi" w:hAnsiTheme="minorHAnsi"/>
          <w:sz w:val="28"/>
          <w:szCs w:val="28"/>
        </w:rPr>
        <w:t>)</w:t>
      </w:r>
      <w:r w:rsidR="00AC3039" w:rsidRPr="0033529B">
        <w:rPr>
          <w:rFonts w:asciiTheme="minorHAnsi" w:hAnsiTheme="minorHAnsi"/>
          <w:sz w:val="28"/>
          <w:szCs w:val="28"/>
        </w:rPr>
        <w:t xml:space="preserve">PLGA nanoparticles of different hydrophobicity as a function of pH </w:t>
      </w:r>
      <w:r w:rsidR="00B271F9" w:rsidRPr="0033529B">
        <w:rPr>
          <w:rFonts w:asciiTheme="minorHAnsi" w:hAnsiTheme="minorHAnsi"/>
          <w:sz w:val="28"/>
          <w:szCs w:val="28"/>
        </w:rPr>
        <w:t>revealed</w:t>
      </w:r>
      <w:r w:rsidR="00AC3039" w:rsidRPr="0033529B">
        <w:rPr>
          <w:rFonts w:asciiTheme="minorHAnsi" w:hAnsiTheme="minorHAnsi"/>
          <w:sz w:val="28"/>
          <w:szCs w:val="28"/>
        </w:rPr>
        <w:t xml:space="preserve"> </w:t>
      </w:r>
      <w:r w:rsidR="00B271F9" w:rsidRPr="0033529B">
        <w:rPr>
          <w:rFonts w:asciiTheme="minorHAnsi" w:hAnsiTheme="minorHAnsi"/>
          <w:sz w:val="28"/>
          <w:szCs w:val="28"/>
        </w:rPr>
        <w:t>the</w:t>
      </w:r>
      <w:r w:rsidR="00AC3039" w:rsidRPr="0033529B">
        <w:rPr>
          <w:rFonts w:asciiTheme="minorHAnsi" w:hAnsiTheme="minorHAnsi"/>
          <w:sz w:val="28"/>
          <w:szCs w:val="28"/>
        </w:rPr>
        <w:t xml:space="preserve"> polymer grade</w:t>
      </w:r>
      <w:r w:rsidR="00B271F9" w:rsidRPr="0033529B">
        <w:rPr>
          <w:rFonts w:asciiTheme="minorHAnsi" w:hAnsiTheme="minorHAnsi"/>
          <w:sz w:val="28"/>
          <w:szCs w:val="28"/>
        </w:rPr>
        <w:t>s</w:t>
      </w:r>
      <w:r w:rsidR="00AC3039" w:rsidRPr="0033529B">
        <w:rPr>
          <w:rFonts w:asciiTheme="minorHAnsi" w:hAnsiTheme="minorHAnsi"/>
          <w:sz w:val="28"/>
          <w:szCs w:val="28"/>
        </w:rPr>
        <w:t xml:space="preserve"> </w:t>
      </w:r>
      <w:r w:rsidR="00B271F9" w:rsidRPr="0033529B">
        <w:rPr>
          <w:rFonts w:asciiTheme="minorHAnsi" w:hAnsiTheme="minorHAnsi"/>
          <w:sz w:val="28"/>
          <w:szCs w:val="28"/>
        </w:rPr>
        <w:t xml:space="preserve">suitable </w:t>
      </w:r>
      <w:r w:rsidR="00AC3039" w:rsidRPr="0033529B">
        <w:rPr>
          <w:rFonts w:asciiTheme="minorHAnsi" w:hAnsiTheme="minorHAnsi"/>
          <w:sz w:val="28"/>
          <w:szCs w:val="28"/>
        </w:rPr>
        <w:t xml:space="preserve">for delivery system. </w:t>
      </w:r>
      <w:r w:rsidR="00900C7A">
        <w:rPr>
          <w:rFonts w:asciiTheme="minorHAnsi" w:hAnsiTheme="minorHAnsi"/>
          <w:sz w:val="28"/>
          <w:szCs w:val="28"/>
        </w:rPr>
        <w:t xml:space="preserve"> </w:t>
      </w:r>
      <w:r w:rsidR="00AC3039" w:rsidRPr="0033529B">
        <w:rPr>
          <w:rFonts w:asciiTheme="minorHAnsi" w:hAnsiTheme="minorHAnsi"/>
          <w:sz w:val="28"/>
          <w:szCs w:val="28"/>
        </w:rPr>
        <w:t>T</w:t>
      </w:r>
      <w:r w:rsidR="00B271F9" w:rsidRPr="0033529B">
        <w:rPr>
          <w:rFonts w:asciiTheme="minorHAnsi" w:hAnsiTheme="minorHAnsi"/>
          <w:sz w:val="28"/>
          <w:szCs w:val="28"/>
        </w:rPr>
        <w:t>h</w:t>
      </w:r>
      <w:r w:rsidR="00900C7A">
        <w:rPr>
          <w:rFonts w:asciiTheme="minorHAnsi" w:hAnsiTheme="minorHAnsi"/>
          <w:sz w:val="28"/>
          <w:szCs w:val="28"/>
        </w:rPr>
        <w:t xml:space="preserve">e </w:t>
      </w:r>
      <w:r w:rsidR="00B271F9" w:rsidRPr="0033529B">
        <w:rPr>
          <w:rFonts w:asciiTheme="minorHAnsi" w:hAnsiTheme="minorHAnsi"/>
          <w:sz w:val="28"/>
          <w:szCs w:val="28"/>
        </w:rPr>
        <w:t>comprehension of structural stability and polymer grade is extremely useful in developing sustained delivery of</w:t>
      </w:r>
      <w:r w:rsidR="00127C8C">
        <w:rPr>
          <w:rFonts w:asciiTheme="minorHAnsi" w:hAnsiTheme="minorHAnsi"/>
          <w:sz w:val="28"/>
          <w:szCs w:val="28"/>
        </w:rPr>
        <w:t xml:space="preserve"> protein like</w:t>
      </w:r>
      <w:r w:rsidR="00B271F9" w:rsidRPr="0033529B">
        <w:rPr>
          <w:rFonts w:asciiTheme="minorHAnsi" w:hAnsiTheme="minorHAnsi"/>
          <w:sz w:val="28"/>
          <w:szCs w:val="28"/>
        </w:rPr>
        <w:t xml:space="preserve"> r</w:t>
      </w:r>
      <w:r w:rsidR="00900C7A">
        <w:rPr>
          <w:rFonts w:asciiTheme="minorHAnsi" w:hAnsiTheme="minorHAnsi"/>
          <w:sz w:val="28"/>
          <w:szCs w:val="28"/>
        </w:rPr>
        <w:t>-</w:t>
      </w:r>
      <w:proofErr w:type="spellStart"/>
      <w:r w:rsidR="00B271F9" w:rsidRPr="0033529B">
        <w:rPr>
          <w:rFonts w:asciiTheme="minorHAnsi" w:hAnsiTheme="minorHAnsi"/>
          <w:sz w:val="28"/>
          <w:szCs w:val="28"/>
        </w:rPr>
        <w:t>hGH</w:t>
      </w:r>
      <w:proofErr w:type="spellEnd"/>
      <w:r w:rsidR="00900C7A">
        <w:rPr>
          <w:rFonts w:asciiTheme="minorHAnsi" w:hAnsiTheme="minorHAnsi"/>
          <w:sz w:val="28"/>
          <w:szCs w:val="28"/>
        </w:rPr>
        <w:t>. This kind of</w:t>
      </w:r>
      <w:r w:rsidR="00B271F9" w:rsidRPr="0033529B">
        <w:rPr>
          <w:rFonts w:asciiTheme="minorHAnsi" w:hAnsiTheme="minorHAnsi"/>
          <w:sz w:val="28"/>
          <w:szCs w:val="28"/>
        </w:rPr>
        <w:t xml:space="preserve"> </w:t>
      </w:r>
      <w:r w:rsidR="00900C7A">
        <w:rPr>
          <w:rFonts w:asciiTheme="minorHAnsi" w:hAnsiTheme="minorHAnsi"/>
          <w:sz w:val="28"/>
          <w:szCs w:val="28"/>
        </w:rPr>
        <w:t>dosage form is</w:t>
      </w:r>
      <w:r w:rsidR="00B271F9" w:rsidRPr="0033529B">
        <w:rPr>
          <w:rFonts w:asciiTheme="minorHAnsi" w:hAnsiTheme="minorHAnsi"/>
          <w:sz w:val="28"/>
          <w:szCs w:val="28"/>
        </w:rPr>
        <w:t xml:space="preserve"> currently lacking in the market despite the facts that </w:t>
      </w:r>
      <w:r w:rsidR="00B271F9" w:rsidRPr="0033529B">
        <w:rPr>
          <w:rFonts w:asciiTheme="minorHAnsi" w:hAnsiTheme="minorHAnsi"/>
          <w:sz w:val="28"/>
          <w:szCs w:val="28"/>
        </w:rPr>
        <w:t>r-</w:t>
      </w:r>
      <w:proofErr w:type="spellStart"/>
      <w:r w:rsidR="00B271F9" w:rsidRPr="0033529B">
        <w:rPr>
          <w:rFonts w:asciiTheme="minorHAnsi" w:hAnsiTheme="minorHAnsi"/>
          <w:sz w:val="28"/>
          <w:szCs w:val="28"/>
        </w:rPr>
        <w:t>hGH</w:t>
      </w:r>
      <w:proofErr w:type="spellEnd"/>
      <w:r w:rsidR="00B271F9" w:rsidRPr="0033529B">
        <w:rPr>
          <w:rFonts w:asciiTheme="minorHAnsi" w:hAnsiTheme="minorHAnsi"/>
          <w:sz w:val="28"/>
          <w:szCs w:val="28"/>
        </w:rPr>
        <w:t xml:space="preserve"> was first approved for use by FDA in 1995</w:t>
      </w:r>
      <w:r w:rsidR="00B271F9" w:rsidRPr="0033529B">
        <w:rPr>
          <w:rFonts w:asciiTheme="minorHAnsi" w:hAnsiTheme="minorHAnsi"/>
          <w:sz w:val="28"/>
          <w:szCs w:val="28"/>
        </w:rPr>
        <w:t xml:space="preserve">, </w:t>
      </w:r>
      <w:r w:rsidR="00B271F9" w:rsidRPr="0033529B">
        <w:rPr>
          <w:rFonts w:asciiTheme="minorHAnsi" w:hAnsiTheme="minorHAnsi"/>
          <w:sz w:val="28"/>
          <w:szCs w:val="28"/>
        </w:rPr>
        <w:t>the conventional dosage form in the market has a limitation of daily subcutaneous injections</w:t>
      </w:r>
      <w:r w:rsidR="0033529B" w:rsidRPr="0033529B">
        <w:rPr>
          <w:rFonts w:asciiTheme="minorHAnsi" w:hAnsiTheme="minorHAnsi"/>
          <w:sz w:val="28"/>
          <w:szCs w:val="28"/>
        </w:rPr>
        <w:t xml:space="preserve">, </w:t>
      </w:r>
      <w:r w:rsidR="0033529B" w:rsidRPr="0033529B">
        <w:rPr>
          <w:rFonts w:asciiTheme="minorHAnsi" w:hAnsiTheme="minorHAnsi"/>
          <w:sz w:val="28"/>
          <w:szCs w:val="28"/>
        </w:rPr>
        <w:t>a long-acting dosage form of r-</w:t>
      </w:r>
      <w:proofErr w:type="spellStart"/>
      <w:r w:rsidR="0033529B" w:rsidRPr="0033529B">
        <w:rPr>
          <w:rFonts w:asciiTheme="minorHAnsi" w:hAnsiTheme="minorHAnsi"/>
          <w:sz w:val="28"/>
          <w:szCs w:val="28"/>
        </w:rPr>
        <w:t>hGH</w:t>
      </w:r>
      <w:proofErr w:type="spellEnd"/>
      <w:r w:rsidR="00127C8C">
        <w:rPr>
          <w:rFonts w:asciiTheme="minorHAnsi" w:hAnsiTheme="minorHAnsi"/>
          <w:sz w:val="28"/>
          <w:szCs w:val="28"/>
        </w:rPr>
        <w:t>;</w:t>
      </w:r>
      <w:r w:rsidR="0033529B" w:rsidRPr="0033529B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3529B" w:rsidRPr="0033529B">
        <w:rPr>
          <w:rFonts w:asciiTheme="minorHAnsi" w:hAnsiTheme="minorHAnsi"/>
          <w:sz w:val="28"/>
          <w:szCs w:val="28"/>
        </w:rPr>
        <w:t>Nutropin</w:t>
      </w:r>
      <w:proofErr w:type="spellEnd"/>
      <w:r w:rsidR="0033529B" w:rsidRPr="0033529B">
        <w:rPr>
          <w:rFonts w:asciiTheme="minorHAnsi" w:hAnsiTheme="minorHAnsi"/>
          <w:sz w:val="28"/>
          <w:szCs w:val="28"/>
        </w:rPr>
        <w:t xml:space="preserve"> depot</w:t>
      </w:r>
      <w:r w:rsidR="0033529B" w:rsidRPr="0033529B">
        <w:rPr>
          <w:rFonts w:asciiTheme="minorHAnsi" w:hAnsiTheme="minorHAnsi"/>
          <w:sz w:val="28"/>
          <w:szCs w:val="28"/>
        </w:rPr>
        <w:t xml:space="preserve"> was discontinued in 2004</w:t>
      </w:r>
      <w:r w:rsidR="00900C7A">
        <w:rPr>
          <w:rFonts w:asciiTheme="minorHAnsi" w:hAnsiTheme="minorHAnsi"/>
          <w:sz w:val="28"/>
          <w:szCs w:val="28"/>
        </w:rPr>
        <w:t>, about 5 years after its</w:t>
      </w:r>
      <w:r w:rsidR="0033529B" w:rsidRPr="0033529B">
        <w:rPr>
          <w:rFonts w:asciiTheme="minorHAnsi" w:hAnsiTheme="minorHAnsi"/>
          <w:sz w:val="28"/>
          <w:szCs w:val="28"/>
        </w:rPr>
        <w:t xml:space="preserve"> approval from FDA a</w:t>
      </w:r>
      <w:r w:rsidR="00B271F9" w:rsidRPr="0033529B">
        <w:rPr>
          <w:rFonts w:asciiTheme="minorHAnsi" w:hAnsiTheme="minorHAnsi"/>
          <w:sz w:val="28"/>
          <w:szCs w:val="28"/>
        </w:rPr>
        <w:t xml:space="preserve">nd </w:t>
      </w:r>
      <w:r w:rsidR="0033529B" w:rsidRPr="0033529B">
        <w:rPr>
          <w:rFonts w:asciiTheme="minorHAnsi" w:hAnsiTheme="minorHAnsi"/>
          <w:sz w:val="28"/>
          <w:szCs w:val="28"/>
        </w:rPr>
        <w:t xml:space="preserve">since </w:t>
      </w:r>
      <w:r w:rsidR="00900C7A">
        <w:rPr>
          <w:rFonts w:asciiTheme="minorHAnsi" w:hAnsiTheme="minorHAnsi"/>
          <w:sz w:val="28"/>
          <w:szCs w:val="28"/>
        </w:rPr>
        <w:t xml:space="preserve">then </w:t>
      </w:r>
      <w:r w:rsidR="00B271F9" w:rsidRPr="0033529B">
        <w:rPr>
          <w:rFonts w:asciiTheme="minorHAnsi" w:hAnsiTheme="minorHAnsi"/>
          <w:sz w:val="28"/>
          <w:szCs w:val="28"/>
        </w:rPr>
        <w:t xml:space="preserve">continued research </w:t>
      </w:r>
      <w:r w:rsidR="0033529B" w:rsidRPr="0033529B">
        <w:rPr>
          <w:rFonts w:asciiTheme="minorHAnsi" w:hAnsiTheme="minorHAnsi"/>
          <w:sz w:val="28"/>
          <w:szCs w:val="28"/>
        </w:rPr>
        <w:t xml:space="preserve">has been </w:t>
      </w:r>
      <w:r w:rsidR="00B271F9" w:rsidRPr="0033529B">
        <w:rPr>
          <w:rFonts w:asciiTheme="minorHAnsi" w:hAnsiTheme="minorHAnsi"/>
          <w:sz w:val="28"/>
          <w:szCs w:val="28"/>
        </w:rPr>
        <w:t>focused in this area</w:t>
      </w:r>
      <w:r w:rsidR="0033529B" w:rsidRPr="0033529B">
        <w:rPr>
          <w:rFonts w:asciiTheme="minorHAnsi" w:hAnsiTheme="minorHAnsi"/>
          <w:sz w:val="28"/>
          <w:szCs w:val="28"/>
        </w:rPr>
        <w:t>. Thus, d</w:t>
      </w:r>
      <w:r w:rsidRPr="0033529B">
        <w:rPr>
          <w:rFonts w:asciiTheme="minorHAnsi" w:hAnsiTheme="minorHAnsi"/>
          <w:sz w:val="28"/>
          <w:szCs w:val="28"/>
        </w:rPr>
        <w:t xml:space="preserve">irect evaluation of </w:t>
      </w:r>
      <w:r w:rsidR="00127C8C">
        <w:rPr>
          <w:rFonts w:asciiTheme="minorHAnsi" w:hAnsiTheme="minorHAnsi"/>
          <w:sz w:val="28"/>
          <w:szCs w:val="28"/>
        </w:rPr>
        <w:t>secondar</w:t>
      </w:r>
      <w:bookmarkStart w:id="0" w:name="_GoBack"/>
      <w:bookmarkEnd w:id="0"/>
      <w:r w:rsidR="00127C8C">
        <w:rPr>
          <w:rFonts w:asciiTheme="minorHAnsi" w:hAnsiTheme="minorHAnsi"/>
          <w:sz w:val="28"/>
          <w:szCs w:val="28"/>
        </w:rPr>
        <w:t xml:space="preserve">y and tertiary structural </w:t>
      </w:r>
      <w:r w:rsidRPr="0033529B">
        <w:rPr>
          <w:rFonts w:asciiTheme="minorHAnsi" w:hAnsiTheme="minorHAnsi"/>
          <w:sz w:val="28"/>
          <w:szCs w:val="28"/>
        </w:rPr>
        <w:t xml:space="preserve">conformations of the adsorbed proteins on the polymer surface </w:t>
      </w:r>
      <w:r w:rsidR="0033529B" w:rsidRPr="0033529B">
        <w:rPr>
          <w:rFonts w:asciiTheme="minorHAnsi" w:hAnsiTheme="minorHAnsi"/>
          <w:sz w:val="28"/>
          <w:szCs w:val="28"/>
        </w:rPr>
        <w:t xml:space="preserve">with the analytical techniques such as dynamic light scattering Spectroscopy, fluorescence spectroscopy and circular dichroism spectroscopy </w:t>
      </w:r>
      <w:r w:rsidRPr="0033529B">
        <w:rPr>
          <w:rFonts w:asciiTheme="minorHAnsi" w:hAnsiTheme="minorHAnsi"/>
          <w:sz w:val="28"/>
          <w:szCs w:val="28"/>
        </w:rPr>
        <w:t xml:space="preserve">will help understand the nature of the interactions that govern the adsorption of the protein on the polymer, leading to successful design of </w:t>
      </w:r>
      <w:proofErr w:type="spellStart"/>
      <w:r w:rsidRPr="0033529B">
        <w:rPr>
          <w:rFonts w:asciiTheme="minorHAnsi" w:hAnsiTheme="minorHAnsi"/>
          <w:sz w:val="28"/>
          <w:szCs w:val="28"/>
        </w:rPr>
        <w:t>nano</w:t>
      </w:r>
      <w:proofErr w:type="spellEnd"/>
      <w:r w:rsidR="0033529B" w:rsidRPr="0033529B">
        <w:rPr>
          <w:rFonts w:asciiTheme="minorHAnsi" w:hAnsiTheme="minorHAnsi"/>
          <w:sz w:val="28"/>
          <w:szCs w:val="28"/>
        </w:rPr>
        <w:t xml:space="preserve"> </w:t>
      </w:r>
      <w:r w:rsidRPr="0033529B">
        <w:rPr>
          <w:rFonts w:asciiTheme="minorHAnsi" w:hAnsiTheme="minorHAnsi"/>
          <w:sz w:val="28"/>
          <w:szCs w:val="28"/>
        </w:rPr>
        <w:t>particulate delivery systems.</w:t>
      </w:r>
    </w:p>
    <w:p w:rsidR="00FD7C74" w:rsidRDefault="00FD7C74" w:rsidP="00FD7C74">
      <w:pPr>
        <w:pStyle w:val="NormalWeb"/>
        <w:shd w:val="clear" w:color="auto" w:fill="FFFFFF"/>
        <w:rPr>
          <w:rFonts w:ascii="Helvetica" w:hAnsi="Helvetica" w:cs="Helvetica"/>
          <w:color w:val="444444"/>
        </w:rPr>
      </w:pPr>
    </w:p>
    <w:p w:rsidR="00705ED2" w:rsidRPr="00E95C7C" w:rsidRDefault="00E95C7C" w:rsidP="00E95C7C">
      <w:pPr>
        <w:autoSpaceDE w:val="0"/>
        <w:autoSpaceDN w:val="0"/>
        <w:adjustRightInd w:val="0"/>
        <w:spacing w:after="100" w:afterAutospacing="1" w:line="240" w:lineRule="atLeast"/>
        <w:rPr>
          <w:rFonts w:cs="Times New Roman"/>
          <w:sz w:val="28"/>
          <w:szCs w:val="28"/>
        </w:rPr>
      </w:pPr>
      <w:r w:rsidRPr="00E95C7C">
        <w:rPr>
          <w:rFonts w:cs="Times New Roman"/>
          <w:b/>
          <w:sz w:val="28"/>
          <w:szCs w:val="28"/>
        </w:rPr>
        <w:t>Key words:</w:t>
      </w:r>
      <w:r w:rsidRPr="00E95C7C">
        <w:rPr>
          <w:rFonts w:cs="Times New Roman"/>
          <w:sz w:val="28"/>
          <w:szCs w:val="28"/>
        </w:rPr>
        <w:t xml:space="preserve"> Recombinant Human Growth Hormone (</w:t>
      </w:r>
      <w:proofErr w:type="spellStart"/>
      <w:r w:rsidRPr="00E95C7C">
        <w:rPr>
          <w:rFonts w:cs="Times New Roman"/>
          <w:sz w:val="28"/>
          <w:szCs w:val="28"/>
        </w:rPr>
        <w:t>rhGH</w:t>
      </w:r>
      <w:proofErr w:type="spellEnd"/>
      <w:r w:rsidRPr="00E95C7C">
        <w:rPr>
          <w:rFonts w:cs="Times New Roman"/>
          <w:sz w:val="28"/>
          <w:szCs w:val="28"/>
        </w:rPr>
        <w:t>), Poly (</w:t>
      </w:r>
      <w:proofErr w:type="spellStart"/>
      <w:r w:rsidRPr="00E95C7C">
        <w:rPr>
          <w:rFonts w:cs="Times New Roman"/>
          <w:sz w:val="28"/>
          <w:szCs w:val="28"/>
        </w:rPr>
        <w:t>lactide</w:t>
      </w:r>
      <w:proofErr w:type="spellEnd"/>
      <w:r w:rsidRPr="00E95C7C">
        <w:rPr>
          <w:rFonts w:cs="Times New Roman"/>
          <w:sz w:val="28"/>
          <w:szCs w:val="28"/>
        </w:rPr>
        <w:t>-co-</w:t>
      </w:r>
      <w:proofErr w:type="spellStart"/>
      <w:r w:rsidRPr="00E95C7C">
        <w:rPr>
          <w:rFonts w:cs="Times New Roman"/>
          <w:sz w:val="28"/>
          <w:szCs w:val="28"/>
        </w:rPr>
        <w:t>glycolide</w:t>
      </w:r>
      <w:proofErr w:type="spellEnd"/>
      <w:r w:rsidRPr="00E95C7C">
        <w:rPr>
          <w:rFonts w:cs="Times New Roman"/>
          <w:sz w:val="28"/>
          <w:szCs w:val="28"/>
        </w:rPr>
        <w:t>) (PLGA), Nanoparticles, Dynamic Light Scattering (DLS), Fluorescence Spectroscopy, Circular Dichroism Spectroscopy (CD), Tertiary Structure, Secondary Structure</w:t>
      </w:r>
      <w:r>
        <w:rPr>
          <w:rFonts w:cs="Times New Roman"/>
          <w:sz w:val="28"/>
          <w:szCs w:val="28"/>
        </w:rPr>
        <w:t>.</w:t>
      </w:r>
    </w:p>
    <w:sectPr w:rsidR="00705ED2" w:rsidRPr="00E95C7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56D" w:rsidRDefault="00CF256D" w:rsidP="00FD7C74">
      <w:pPr>
        <w:spacing w:after="0" w:line="240" w:lineRule="auto"/>
      </w:pPr>
      <w:r>
        <w:separator/>
      </w:r>
    </w:p>
  </w:endnote>
  <w:endnote w:type="continuationSeparator" w:id="0">
    <w:p w:rsidR="00CF256D" w:rsidRDefault="00CF256D" w:rsidP="00FD7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56D" w:rsidRDefault="00CF256D" w:rsidP="00FD7C74">
      <w:pPr>
        <w:spacing w:after="0" w:line="240" w:lineRule="auto"/>
      </w:pPr>
      <w:r>
        <w:separator/>
      </w:r>
    </w:p>
  </w:footnote>
  <w:footnote w:type="continuationSeparator" w:id="0">
    <w:p w:rsidR="00CF256D" w:rsidRDefault="00CF256D" w:rsidP="00FD7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C74" w:rsidRPr="0033529B" w:rsidRDefault="00FD7C74">
    <w:pPr>
      <w:pStyle w:val="Header"/>
      <w:rPr>
        <w:b/>
        <w:sz w:val="28"/>
        <w:szCs w:val="28"/>
      </w:rPr>
    </w:pPr>
    <w:r w:rsidRPr="0033529B">
      <w:rPr>
        <w:b/>
        <w:sz w:val="28"/>
        <w:szCs w:val="28"/>
      </w:rPr>
      <w:t>Title:</w:t>
    </w:r>
    <w:r w:rsidR="00127C8C">
      <w:rPr>
        <w:b/>
        <w:sz w:val="28"/>
        <w:szCs w:val="28"/>
      </w:rPr>
      <w:t xml:space="preserve"> Significance</w:t>
    </w:r>
    <w:r w:rsidRPr="0033529B">
      <w:rPr>
        <w:b/>
        <w:sz w:val="28"/>
        <w:szCs w:val="28"/>
      </w:rPr>
      <w:t xml:space="preserve"> of Structure Elucidation of Protein </w:t>
    </w:r>
    <w:r w:rsidR="00127C8C">
      <w:rPr>
        <w:b/>
        <w:sz w:val="28"/>
        <w:szCs w:val="28"/>
      </w:rPr>
      <w:t>At The I</w:t>
    </w:r>
    <w:r w:rsidRPr="0033529B">
      <w:rPr>
        <w:b/>
        <w:sz w:val="28"/>
        <w:szCs w:val="28"/>
      </w:rPr>
      <w:t xml:space="preserve">nterface </w:t>
    </w:r>
    <w:r w:rsidR="00127C8C">
      <w:rPr>
        <w:b/>
        <w:sz w:val="28"/>
        <w:szCs w:val="28"/>
      </w:rPr>
      <w:t>I</w:t>
    </w:r>
    <w:r w:rsidRPr="0033529B">
      <w:rPr>
        <w:b/>
        <w:sz w:val="28"/>
        <w:szCs w:val="28"/>
      </w:rPr>
      <w:t xml:space="preserve">n </w:t>
    </w:r>
    <w:r w:rsidR="00127C8C">
      <w:rPr>
        <w:b/>
        <w:sz w:val="28"/>
        <w:szCs w:val="28"/>
      </w:rPr>
      <w:t>D</w:t>
    </w:r>
    <w:r w:rsidRPr="0033529B">
      <w:rPr>
        <w:b/>
        <w:sz w:val="28"/>
        <w:szCs w:val="28"/>
      </w:rPr>
      <w:t xml:space="preserve">esigning </w:t>
    </w:r>
    <w:r w:rsidR="00127C8C">
      <w:rPr>
        <w:b/>
        <w:sz w:val="28"/>
        <w:szCs w:val="28"/>
      </w:rPr>
      <w:t>P</w:t>
    </w:r>
    <w:r w:rsidRPr="0033529B">
      <w:rPr>
        <w:b/>
        <w:sz w:val="28"/>
        <w:szCs w:val="28"/>
      </w:rPr>
      <w:t xml:space="preserve">olymer </w:t>
    </w:r>
    <w:r w:rsidR="00127C8C">
      <w:rPr>
        <w:b/>
        <w:sz w:val="28"/>
        <w:szCs w:val="28"/>
      </w:rPr>
      <w:t>N</w:t>
    </w:r>
    <w:r w:rsidRPr="0033529B">
      <w:rPr>
        <w:b/>
        <w:sz w:val="28"/>
        <w:szCs w:val="28"/>
      </w:rPr>
      <w:t xml:space="preserve">anoparticle </w:t>
    </w:r>
    <w:r w:rsidR="00127C8C">
      <w:rPr>
        <w:b/>
        <w:sz w:val="28"/>
        <w:szCs w:val="28"/>
      </w:rPr>
      <w:t>M</w:t>
    </w:r>
    <w:r w:rsidRPr="0033529B">
      <w:rPr>
        <w:b/>
        <w:sz w:val="28"/>
        <w:szCs w:val="28"/>
      </w:rPr>
      <w:t xml:space="preserve">ediated </w:t>
    </w:r>
    <w:r w:rsidR="00127C8C">
      <w:rPr>
        <w:b/>
        <w:sz w:val="28"/>
        <w:szCs w:val="28"/>
      </w:rPr>
      <w:t>P</w:t>
    </w:r>
    <w:r w:rsidRPr="0033529B">
      <w:rPr>
        <w:b/>
        <w:sz w:val="28"/>
        <w:szCs w:val="28"/>
      </w:rPr>
      <w:t xml:space="preserve">rotein </w:t>
    </w:r>
    <w:r w:rsidR="00127C8C">
      <w:rPr>
        <w:b/>
        <w:sz w:val="28"/>
        <w:szCs w:val="28"/>
      </w:rPr>
      <w:t>D</w:t>
    </w:r>
    <w:r w:rsidRPr="0033529B">
      <w:rPr>
        <w:b/>
        <w:sz w:val="28"/>
        <w:szCs w:val="28"/>
      </w:rPr>
      <w:t xml:space="preserve">elivery </w:t>
    </w:r>
    <w:r w:rsidR="00127C8C">
      <w:rPr>
        <w:b/>
        <w:sz w:val="28"/>
        <w:szCs w:val="28"/>
      </w:rPr>
      <w:t>S</w:t>
    </w:r>
    <w:r w:rsidRPr="0033529B">
      <w:rPr>
        <w:b/>
        <w:sz w:val="28"/>
        <w:szCs w:val="28"/>
      </w:rPr>
      <w:t>ystem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C74"/>
    <w:rsid w:val="00127C8C"/>
    <w:rsid w:val="0033529B"/>
    <w:rsid w:val="00601012"/>
    <w:rsid w:val="00705ED2"/>
    <w:rsid w:val="00900C7A"/>
    <w:rsid w:val="009D0ED3"/>
    <w:rsid w:val="00AC3039"/>
    <w:rsid w:val="00B271F9"/>
    <w:rsid w:val="00CF256D"/>
    <w:rsid w:val="00E95C7C"/>
    <w:rsid w:val="00FD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7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D7C7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D7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C74"/>
  </w:style>
  <w:style w:type="paragraph" w:styleId="Footer">
    <w:name w:val="footer"/>
    <w:basedOn w:val="Normal"/>
    <w:link w:val="FooterChar"/>
    <w:uiPriority w:val="99"/>
    <w:unhideWhenUsed/>
    <w:rsid w:val="00FD7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C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7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D7C7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D7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C74"/>
  </w:style>
  <w:style w:type="paragraph" w:styleId="Footer">
    <w:name w:val="footer"/>
    <w:basedOn w:val="Normal"/>
    <w:link w:val="FooterChar"/>
    <w:uiPriority w:val="99"/>
    <w:unhideWhenUsed/>
    <w:rsid w:val="00FD7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4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Vaishnavi Shah</dc:creator>
  <cp:lastModifiedBy>Vaishnavi Shah</cp:lastModifiedBy>
  <cp:revision>3</cp:revision>
  <dcterms:created xsi:type="dcterms:W3CDTF">2018-02-16T01:55:00Z</dcterms:created>
  <dcterms:modified xsi:type="dcterms:W3CDTF">2018-02-16T12:02:00Z</dcterms:modified>
</cp:coreProperties>
</file>