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FB237" w14:textId="77777777" w:rsidR="00EC7704" w:rsidRPr="00EC7704" w:rsidRDefault="00EC7704" w:rsidP="00EC7704">
      <w:pPr>
        <w:pStyle w:val="BodyText"/>
        <w:rPr>
          <w:rFonts w:ascii="Minion Pro" w:eastAsia="Minion Pro" w:hAnsi="Minion Pro" w:cs="Minion Pro"/>
          <w:b/>
          <w:bCs/>
          <w:color w:val="337AB7"/>
          <w:sz w:val="32"/>
          <w:szCs w:val="36"/>
        </w:rPr>
      </w:pPr>
      <w:r w:rsidRPr="00EC7704">
        <w:rPr>
          <w:rFonts w:ascii="Minion Pro" w:eastAsia="Minion Pro" w:hAnsi="Minion Pro" w:cs="Minion Pro"/>
          <w:b/>
          <w:bCs/>
          <w:color w:val="337AB7"/>
          <w:sz w:val="32"/>
          <w:szCs w:val="36"/>
        </w:rPr>
        <w:t>Effect of granulation and tableting process parameters on microbial bio-burden in tablets containing plant based ingredients: A case study</w:t>
      </w:r>
    </w:p>
    <w:p w14:paraId="7162A9E7" w14:textId="77777777" w:rsidR="00EC7704" w:rsidRDefault="00EC7704" w:rsidP="00EC7704">
      <w:pPr>
        <w:pStyle w:val="BodyText"/>
        <w:rPr>
          <w:rFonts w:ascii="Minion Pro" w:eastAsia="Minion Pro" w:hAnsi="Minion Pro" w:cs="Minion Pro"/>
          <w:b/>
          <w:bCs/>
          <w:color w:val="337AB7"/>
          <w:sz w:val="30"/>
          <w:szCs w:val="36"/>
        </w:rPr>
      </w:pPr>
    </w:p>
    <w:p w14:paraId="1DB4C0FF" w14:textId="763BDB8D" w:rsidR="00EC7704" w:rsidRPr="00EC7704" w:rsidRDefault="00EC7704" w:rsidP="00EC7704">
      <w:pPr>
        <w:pStyle w:val="BodyText"/>
        <w:rPr>
          <w:rFonts w:ascii="Minion Pro" w:eastAsia="Minion Pro" w:hAnsi="Minion Pro" w:cs="Minion Pro"/>
          <w:b/>
          <w:bCs/>
          <w:color w:val="337AB7"/>
          <w:sz w:val="26"/>
          <w:szCs w:val="36"/>
        </w:rPr>
      </w:pPr>
      <w:r w:rsidRPr="00EC7704">
        <w:rPr>
          <w:rFonts w:ascii="Minion Pro" w:eastAsia="Minion Pro" w:hAnsi="Minion Pro" w:cs="Minion Pro"/>
          <w:b/>
          <w:bCs/>
          <w:color w:val="337AB7"/>
          <w:sz w:val="26"/>
          <w:szCs w:val="36"/>
        </w:rPr>
        <w:t>Rohit P. Dugar</w:t>
      </w:r>
      <w:r w:rsidRPr="00EC7704">
        <w:rPr>
          <w:rFonts w:ascii="Minion Pro" w:eastAsia="Minion Pro" w:hAnsi="Minion Pro" w:cs="Minion Pro"/>
          <w:b/>
          <w:bCs/>
          <w:color w:val="337AB7"/>
          <w:sz w:val="26"/>
          <w:szCs w:val="36"/>
          <w:vertAlign w:val="superscript"/>
        </w:rPr>
        <w:t>1</w:t>
      </w:r>
      <w:r w:rsidRPr="00EC7704">
        <w:rPr>
          <w:rFonts w:ascii="Minion Pro" w:eastAsia="Minion Pro" w:hAnsi="Minion Pro" w:cs="Minion Pro"/>
          <w:b/>
          <w:bCs/>
          <w:color w:val="337AB7"/>
          <w:sz w:val="26"/>
          <w:szCs w:val="36"/>
        </w:rPr>
        <w:t>, Tom La</w:t>
      </w:r>
      <w:r w:rsidRPr="00EC7704">
        <w:rPr>
          <w:rFonts w:ascii="Minion Pro" w:eastAsia="Minion Pro" w:hAnsi="Minion Pro" w:cs="Minion Pro"/>
          <w:b/>
          <w:bCs/>
          <w:color w:val="337AB7"/>
          <w:sz w:val="26"/>
          <w:szCs w:val="36"/>
          <w:vertAlign w:val="superscript"/>
        </w:rPr>
        <w:t>1</w:t>
      </w:r>
      <w:r w:rsidRPr="00EC7704">
        <w:rPr>
          <w:rFonts w:ascii="Minion Pro" w:eastAsia="Minion Pro" w:hAnsi="Minion Pro" w:cs="Minion Pro"/>
          <w:b/>
          <w:bCs/>
          <w:color w:val="337AB7"/>
          <w:sz w:val="26"/>
          <w:szCs w:val="36"/>
        </w:rPr>
        <w:t>, Mary A. Murray</w:t>
      </w:r>
      <w:r w:rsidRPr="00EC7704">
        <w:rPr>
          <w:rFonts w:ascii="Minion Pro" w:eastAsia="Minion Pro" w:hAnsi="Minion Pro" w:cs="Minion Pro"/>
          <w:b/>
          <w:bCs/>
          <w:color w:val="337AB7"/>
          <w:sz w:val="26"/>
          <w:szCs w:val="36"/>
          <w:vertAlign w:val="superscript"/>
        </w:rPr>
        <w:t>1</w:t>
      </w:r>
    </w:p>
    <w:p w14:paraId="34E953AD" w14:textId="77777777" w:rsidR="00EC7704" w:rsidRPr="00EC7704" w:rsidRDefault="00EC7704" w:rsidP="00EC7704">
      <w:pPr>
        <w:pStyle w:val="BodyText"/>
        <w:rPr>
          <w:rFonts w:ascii="Minion Pro" w:eastAsia="Minion Pro" w:hAnsi="Minion Pro" w:cs="Minion Pro"/>
          <w:b/>
          <w:bCs/>
          <w:color w:val="337AB7"/>
          <w:sz w:val="26"/>
          <w:szCs w:val="36"/>
          <w:vertAlign w:val="superscript"/>
        </w:rPr>
      </w:pPr>
    </w:p>
    <w:p w14:paraId="542C22C3" w14:textId="79044C20" w:rsidR="00AE3E37" w:rsidRPr="00EC7704" w:rsidRDefault="00EC7704" w:rsidP="00EC7704">
      <w:pPr>
        <w:pStyle w:val="BodyText"/>
        <w:rPr>
          <w:rFonts w:ascii="Arial"/>
          <w:sz w:val="10"/>
        </w:rPr>
      </w:pPr>
      <w:r w:rsidRPr="00EC7704">
        <w:rPr>
          <w:rFonts w:ascii="Minion Pro" w:eastAsia="Minion Pro" w:hAnsi="Minion Pro" w:cs="Minion Pro"/>
          <w:b/>
          <w:bCs/>
          <w:color w:val="337AB7"/>
          <w:sz w:val="26"/>
          <w:szCs w:val="36"/>
          <w:vertAlign w:val="superscript"/>
        </w:rPr>
        <w:t>1</w:t>
      </w:r>
      <w:r w:rsidRPr="00EC7704">
        <w:rPr>
          <w:rFonts w:ascii="Minion Pro" w:eastAsia="Minion Pro" w:hAnsi="Minion Pro" w:cs="Minion Pro"/>
          <w:b/>
          <w:bCs/>
          <w:color w:val="337AB7"/>
          <w:sz w:val="26"/>
          <w:szCs w:val="36"/>
        </w:rPr>
        <w:t>Nutrilite Health Institute, Amway</w:t>
      </w:r>
      <w:r w:rsidRPr="00EC7704">
        <w:rPr>
          <w:rFonts w:ascii="Minion Pro" w:eastAsia="Minion Pro" w:hAnsi="Minion Pro" w:cs="Minion Pro"/>
          <w:b/>
          <w:bCs/>
          <w:color w:val="337AB7"/>
          <w:sz w:val="26"/>
          <w:szCs w:val="36"/>
        </w:rPr>
        <w:t xml:space="preserve"> </w:t>
      </w:r>
      <w:r w:rsidRPr="00EC7704">
        <w:rPr>
          <w:rFonts w:ascii="Minion Pro" w:eastAsia="Minion Pro" w:hAnsi="Minion Pro" w:cs="Minion Pro"/>
          <w:b/>
          <w:bCs/>
          <w:color w:val="337AB7"/>
          <w:sz w:val="26"/>
          <w:szCs w:val="36"/>
        </w:rPr>
        <w:t>R&amp;D, 5600 Beach Boulevard, Buena Park, CA</w:t>
      </w:r>
      <w:r w:rsidRPr="00EC7704">
        <w:rPr>
          <w:rFonts w:ascii="Minion Pro" w:eastAsia="Minion Pro" w:hAnsi="Minion Pro" w:cs="Minion Pro"/>
          <w:b/>
          <w:bCs/>
          <w:color w:val="337AB7"/>
          <w:sz w:val="26"/>
          <w:szCs w:val="36"/>
        </w:rPr>
        <w:t>,</w:t>
      </w:r>
      <w:r w:rsidRPr="00EC7704">
        <w:rPr>
          <w:rFonts w:ascii="Minion Pro" w:eastAsia="Minion Pro" w:hAnsi="Minion Pro" w:cs="Minion Pro"/>
          <w:b/>
          <w:bCs/>
          <w:color w:val="337AB7"/>
          <w:sz w:val="26"/>
          <w:szCs w:val="36"/>
        </w:rPr>
        <w:t xml:space="preserve"> USA</w:t>
      </w:r>
      <w:r w:rsidRPr="00EC7704">
        <w:rPr>
          <w:rFonts w:ascii="Minion Pro" w:eastAsia="Minion Pro" w:hAnsi="Minion Pro" w:cs="Minion Pro"/>
          <w:b/>
          <w:bCs/>
          <w:color w:val="337AB7"/>
          <w:sz w:val="26"/>
          <w:szCs w:val="36"/>
        </w:rPr>
        <w:t xml:space="preserve">- </w:t>
      </w:r>
      <w:r w:rsidRPr="00EC7704">
        <w:rPr>
          <w:rFonts w:ascii="Minion Pro" w:eastAsia="Minion Pro" w:hAnsi="Minion Pro" w:cs="Minion Pro"/>
          <w:b/>
          <w:bCs/>
          <w:color w:val="337AB7"/>
          <w:sz w:val="26"/>
          <w:szCs w:val="36"/>
        </w:rPr>
        <w:t>90621</w:t>
      </w:r>
      <w:r w:rsidRPr="00EC7704">
        <w:rPr>
          <w:rFonts w:ascii="Minion Pro" w:eastAsia="Minion Pro" w:hAnsi="Minion Pro" w:cs="Minion Pro"/>
          <w:b/>
          <w:bCs/>
          <w:color w:val="337AB7"/>
          <w:sz w:val="26"/>
          <w:szCs w:val="36"/>
        </w:rPr>
        <w:t>.</w:t>
      </w:r>
    </w:p>
    <w:p w14:paraId="3C3E798E" w14:textId="77777777" w:rsidR="00AE3E37" w:rsidRDefault="00AE3E37">
      <w:pPr>
        <w:pStyle w:val="BodyText"/>
        <w:spacing w:before="3"/>
        <w:rPr>
          <w:rFonts w:ascii="Arial"/>
          <w:sz w:val="21"/>
        </w:rPr>
      </w:pPr>
    </w:p>
    <w:p w14:paraId="43CA17A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556661F" w14:textId="2598F293" w:rsidR="00EC7704" w:rsidRPr="00EC7704" w:rsidRDefault="00A9710C" w:rsidP="00EC7704">
      <w:pPr>
        <w:pStyle w:val="Heading3"/>
        <w:spacing w:before="147"/>
        <w:jc w:val="both"/>
      </w:pPr>
      <w:r>
        <w:rPr>
          <w:color w:val="BF5A14"/>
        </w:rPr>
        <w:t>Abstract</w:t>
      </w:r>
      <w:r w:rsidR="00404E5B">
        <w:rPr>
          <w:color w:val="BF5A14"/>
        </w:rPr>
        <w:t xml:space="preserve"> </w:t>
      </w:r>
    </w:p>
    <w:p w14:paraId="5740D6F9" w14:textId="32991B09" w:rsidR="00AE3E37" w:rsidRPr="00EC7704" w:rsidRDefault="001F0F2B" w:rsidP="00EC7704">
      <w:pPr>
        <w:pStyle w:val="Heading3"/>
        <w:spacing w:before="74"/>
        <w:rPr>
          <w:rFonts w:ascii="Tw Cen MT" w:eastAsia="Tw Cen MT" w:hAnsi="Tw Cen MT" w:cs="Tw Cen MT"/>
          <w:b w:val="0"/>
          <w:bCs w:val="0"/>
          <w:sz w:val="18"/>
          <w:szCs w:val="18"/>
        </w:rPr>
      </w:pPr>
      <w:r w:rsidRPr="00EC7704">
        <w:rPr>
          <w:rFonts w:ascii="Tw Cen MT" w:eastAsia="Tw Cen MT" w:hAnsi="Tw Cen MT" w:cs="Tw Cen MT"/>
          <w:b w:val="0"/>
          <w:bCs w:val="0"/>
          <w:sz w:val="18"/>
          <w:szCs w:val="18"/>
        </w:rPr>
        <w:t>Strict guidelines are enforced by governing bodies of different countries for the APC of dietary and natural products. In the current study, effect of processing parameters on microbial bio-burden is explored</w:t>
      </w:r>
      <w:r w:rsidR="00124255">
        <w:rPr>
          <w:rFonts w:ascii="Tw Cen MT" w:eastAsia="Tw Cen MT" w:hAnsi="Tw Cen MT" w:cs="Tw Cen MT"/>
          <w:b w:val="0"/>
          <w:bCs w:val="0"/>
          <w:sz w:val="18"/>
          <w:szCs w:val="18"/>
        </w:rPr>
        <w:t>.</w:t>
      </w:r>
      <w:r w:rsidR="00EC7704" w:rsidRPr="00EC7704">
        <w:rPr>
          <w:rFonts w:ascii="Tw Cen MT" w:eastAsia="Tw Cen MT" w:hAnsi="Tw Cen MT" w:cs="Tw Cen MT"/>
          <w:b w:val="0"/>
          <w:bCs w:val="0"/>
          <w:sz w:val="18"/>
          <w:szCs w:val="18"/>
        </w:rPr>
        <w:t xml:space="preserve"> </w:t>
      </w:r>
      <w:r w:rsidR="00DB5D4D">
        <w:rPr>
          <w:rFonts w:ascii="Tw Cen MT" w:eastAsia="Tw Cen MT" w:hAnsi="Tw Cen MT" w:cs="Tw Cen MT"/>
          <w:b w:val="0"/>
          <w:bCs w:val="0"/>
          <w:sz w:val="18"/>
          <w:szCs w:val="18"/>
        </w:rPr>
        <w:t>E</w:t>
      </w:r>
      <w:r w:rsidR="00EC7704" w:rsidRPr="00EC7704">
        <w:rPr>
          <w:rFonts w:ascii="Tw Cen MT" w:eastAsia="Tw Cen MT" w:hAnsi="Tw Cen MT" w:cs="Tw Cen MT"/>
          <w:b w:val="0"/>
          <w:bCs w:val="0"/>
          <w:sz w:val="18"/>
          <w:szCs w:val="18"/>
        </w:rPr>
        <w:t>ffect of process parameters of high shear (HS) and fluidized top spray (TS) granulation on microbial bio-burden of tablets containing natural products</w:t>
      </w:r>
      <w:r w:rsidR="00124255">
        <w:rPr>
          <w:rFonts w:ascii="Tw Cen MT" w:eastAsia="Tw Cen MT" w:hAnsi="Tw Cen MT" w:cs="Tw Cen MT"/>
          <w:b w:val="0"/>
          <w:bCs w:val="0"/>
          <w:sz w:val="18"/>
          <w:szCs w:val="18"/>
        </w:rPr>
        <w:t xml:space="preserve"> was studied</w:t>
      </w:r>
      <w:r w:rsidR="00EC7704" w:rsidRPr="00EC7704">
        <w:rPr>
          <w:rFonts w:ascii="Tw Cen MT" w:eastAsia="Tw Cen MT" w:hAnsi="Tw Cen MT" w:cs="Tw Cen MT"/>
          <w:b w:val="0"/>
          <w:bCs w:val="0"/>
          <w:sz w:val="18"/>
          <w:szCs w:val="18"/>
        </w:rPr>
        <w:t xml:space="preserve">. </w:t>
      </w:r>
      <w:r>
        <w:rPr>
          <w:rFonts w:ascii="Tw Cen MT" w:eastAsia="Tw Cen MT" w:hAnsi="Tw Cen MT" w:cs="Tw Cen MT"/>
          <w:b w:val="0"/>
          <w:bCs w:val="0"/>
          <w:sz w:val="18"/>
          <w:szCs w:val="18"/>
        </w:rPr>
        <w:t>C</w:t>
      </w:r>
      <w:r w:rsidR="00EC7704" w:rsidRPr="00EC7704">
        <w:rPr>
          <w:rFonts w:ascii="Tw Cen MT" w:eastAsia="Tw Cen MT" w:hAnsi="Tw Cen MT" w:cs="Tw Cen MT"/>
          <w:b w:val="0"/>
          <w:bCs w:val="0"/>
          <w:sz w:val="18"/>
          <w:szCs w:val="18"/>
        </w:rPr>
        <w:t>omponents of formulation were accurately weighed and blended using a V-blender to prepare 6 kg batches each for HS a</w:t>
      </w:r>
      <w:r>
        <w:rPr>
          <w:rFonts w:ascii="Tw Cen MT" w:eastAsia="Tw Cen MT" w:hAnsi="Tw Cen MT" w:cs="Tw Cen MT"/>
          <w:b w:val="0"/>
          <w:bCs w:val="0"/>
          <w:sz w:val="18"/>
          <w:szCs w:val="18"/>
        </w:rPr>
        <w:t>nd</w:t>
      </w:r>
      <w:r w:rsidR="00EC7704" w:rsidRPr="00EC7704">
        <w:rPr>
          <w:rFonts w:ascii="Tw Cen MT" w:eastAsia="Tw Cen MT" w:hAnsi="Tw Cen MT" w:cs="Tw Cen MT"/>
          <w:b w:val="0"/>
          <w:bCs w:val="0"/>
          <w:sz w:val="18"/>
          <w:szCs w:val="18"/>
        </w:rPr>
        <w:t xml:space="preserve"> TS processes. 2</w:t>
      </w:r>
      <w:r w:rsidR="00EC7704" w:rsidRPr="00EC7704">
        <w:rPr>
          <w:rFonts w:ascii="Tw Cen MT" w:eastAsia="Tw Cen MT" w:hAnsi="Tw Cen MT" w:cs="Tw Cen MT"/>
          <w:b w:val="0"/>
          <w:bCs w:val="0"/>
          <w:sz w:val="18"/>
          <w:szCs w:val="18"/>
          <w:vertAlign w:val="superscript"/>
        </w:rPr>
        <w:t>4</w:t>
      </w:r>
      <w:r w:rsidR="00EC7704" w:rsidRPr="00EC7704">
        <w:rPr>
          <w:rFonts w:ascii="Tw Cen MT" w:eastAsia="Tw Cen MT" w:hAnsi="Tw Cen MT" w:cs="Tw Cen MT"/>
          <w:b w:val="0"/>
          <w:bCs w:val="0"/>
          <w:sz w:val="18"/>
          <w:szCs w:val="18"/>
        </w:rPr>
        <w:t xml:space="preserve"> full factorial design was created using Minitab® as shown in Table 1. High shear wet granulation was carried out in a GEA PMA™ using starch slurry in de-ionized water</w:t>
      </w:r>
      <w:r w:rsidR="00124255">
        <w:rPr>
          <w:rFonts w:ascii="Tw Cen MT" w:eastAsia="Tw Cen MT" w:hAnsi="Tw Cen MT" w:cs="Tw Cen MT"/>
          <w:b w:val="0"/>
          <w:bCs w:val="0"/>
          <w:sz w:val="18"/>
          <w:szCs w:val="18"/>
        </w:rPr>
        <w:t>.</w:t>
      </w:r>
      <w:r w:rsidR="00EC7704" w:rsidRPr="00EC7704">
        <w:rPr>
          <w:rFonts w:ascii="Tw Cen MT" w:eastAsia="Tw Cen MT" w:hAnsi="Tw Cen MT" w:cs="Tw Cen MT"/>
          <w:b w:val="0"/>
          <w:bCs w:val="0"/>
          <w:sz w:val="18"/>
          <w:szCs w:val="18"/>
        </w:rPr>
        <w:t xml:space="preserve"> Wet mass was passed through a co-mill and then dried in a fluidized bed drier until constant </w:t>
      </w:r>
      <w:r w:rsidR="00124255">
        <w:rPr>
          <w:rFonts w:ascii="Tw Cen MT" w:eastAsia="Tw Cen MT" w:hAnsi="Tw Cen MT" w:cs="Tw Cen MT"/>
          <w:b w:val="0"/>
          <w:bCs w:val="0"/>
          <w:sz w:val="18"/>
          <w:szCs w:val="18"/>
        </w:rPr>
        <w:t>LOD</w:t>
      </w:r>
      <w:r w:rsidR="00EC7704" w:rsidRPr="00EC7704">
        <w:rPr>
          <w:rFonts w:ascii="Tw Cen MT" w:eastAsia="Tw Cen MT" w:hAnsi="Tw Cen MT" w:cs="Tw Cen MT"/>
          <w:b w:val="0"/>
          <w:bCs w:val="0"/>
          <w:sz w:val="18"/>
          <w:szCs w:val="18"/>
        </w:rPr>
        <w:t xml:space="preserve"> values were obtained. Fluidized</w:t>
      </w:r>
      <w:r w:rsidR="00124255">
        <w:rPr>
          <w:rFonts w:ascii="Tw Cen MT" w:eastAsia="Tw Cen MT" w:hAnsi="Tw Cen MT" w:cs="Tw Cen MT"/>
          <w:b w:val="0"/>
          <w:bCs w:val="0"/>
          <w:sz w:val="18"/>
          <w:szCs w:val="18"/>
        </w:rPr>
        <w:t xml:space="preserve"> </w:t>
      </w:r>
      <w:r w:rsidR="00EC7704" w:rsidRPr="00EC7704">
        <w:rPr>
          <w:rFonts w:ascii="Tw Cen MT" w:eastAsia="Tw Cen MT" w:hAnsi="Tw Cen MT" w:cs="Tw Cen MT"/>
          <w:b w:val="0"/>
          <w:bCs w:val="0"/>
          <w:sz w:val="18"/>
          <w:szCs w:val="18"/>
        </w:rPr>
        <w:t xml:space="preserve">top spray granulation was carried out in a GEA MP1™. </w:t>
      </w:r>
      <w:r w:rsidR="00DB5D4D">
        <w:rPr>
          <w:rFonts w:ascii="Tw Cen MT" w:eastAsia="Tw Cen MT" w:hAnsi="Tw Cen MT" w:cs="Tw Cen MT"/>
          <w:b w:val="0"/>
          <w:bCs w:val="0"/>
          <w:sz w:val="18"/>
          <w:szCs w:val="18"/>
        </w:rPr>
        <w:t>I</w:t>
      </w:r>
      <w:r w:rsidR="00EC7704" w:rsidRPr="00EC7704">
        <w:rPr>
          <w:rFonts w:ascii="Tw Cen MT" w:eastAsia="Tw Cen MT" w:hAnsi="Tw Cen MT" w:cs="Tw Cen MT"/>
          <w:b w:val="0"/>
          <w:bCs w:val="0"/>
          <w:sz w:val="18"/>
          <w:szCs w:val="18"/>
        </w:rPr>
        <w:t xml:space="preserve">nlet air temperature and velocity were modified </w:t>
      </w:r>
      <w:r w:rsidR="00124255">
        <w:rPr>
          <w:rFonts w:ascii="Tw Cen MT" w:eastAsia="Tw Cen MT" w:hAnsi="Tw Cen MT" w:cs="Tw Cen MT"/>
          <w:b w:val="0"/>
          <w:bCs w:val="0"/>
          <w:sz w:val="18"/>
          <w:szCs w:val="18"/>
        </w:rPr>
        <w:t>as per</w:t>
      </w:r>
      <w:r w:rsidR="00EC7704" w:rsidRPr="00EC7704">
        <w:rPr>
          <w:rFonts w:ascii="Tw Cen MT" w:eastAsia="Tw Cen MT" w:hAnsi="Tw Cen MT" w:cs="Tw Cen MT"/>
          <w:b w:val="0"/>
          <w:bCs w:val="0"/>
          <w:sz w:val="18"/>
          <w:szCs w:val="18"/>
        </w:rPr>
        <w:t xml:space="preserve"> Table 1. Post drying, granules were milled at two different speeds</w:t>
      </w:r>
      <w:r w:rsidR="00124255">
        <w:rPr>
          <w:rFonts w:ascii="Tw Cen MT" w:eastAsia="Tw Cen MT" w:hAnsi="Tw Cen MT" w:cs="Tw Cen MT"/>
          <w:b w:val="0"/>
          <w:bCs w:val="0"/>
          <w:sz w:val="18"/>
          <w:szCs w:val="18"/>
        </w:rPr>
        <w:t xml:space="preserve"> and </w:t>
      </w:r>
      <w:r w:rsidR="00EC7704" w:rsidRPr="00EC7704">
        <w:rPr>
          <w:rFonts w:ascii="Tw Cen MT" w:eastAsia="Tw Cen MT" w:hAnsi="Tw Cen MT" w:cs="Tw Cen MT"/>
          <w:b w:val="0"/>
          <w:bCs w:val="0"/>
          <w:sz w:val="18"/>
          <w:szCs w:val="18"/>
        </w:rPr>
        <w:t>then compressed on a rotary tablet press a</w:t>
      </w:r>
      <w:r>
        <w:rPr>
          <w:rFonts w:ascii="Tw Cen MT" w:eastAsia="Tw Cen MT" w:hAnsi="Tw Cen MT" w:cs="Tw Cen MT"/>
          <w:b w:val="0"/>
          <w:bCs w:val="0"/>
          <w:sz w:val="18"/>
          <w:szCs w:val="18"/>
        </w:rPr>
        <w:t>t</w:t>
      </w:r>
      <w:r w:rsidR="00EC7704" w:rsidRPr="00EC7704">
        <w:rPr>
          <w:rFonts w:ascii="Tw Cen MT" w:eastAsia="Tw Cen MT" w:hAnsi="Tw Cen MT" w:cs="Tw Cen MT"/>
          <w:b w:val="0"/>
          <w:bCs w:val="0"/>
          <w:sz w:val="18"/>
          <w:szCs w:val="18"/>
        </w:rPr>
        <w:t xml:space="preserve"> two different main compression forces. Aerobic plate count (APC) swabs, loss on drying and water activity were performed before each processing stage through final tabletin</w:t>
      </w:r>
      <w:r>
        <w:rPr>
          <w:rFonts w:ascii="Tw Cen MT" w:eastAsia="Tw Cen MT" w:hAnsi="Tw Cen MT" w:cs="Tw Cen MT"/>
          <w:b w:val="0"/>
          <w:bCs w:val="0"/>
          <w:sz w:val="18"/>
          <w:szCs w:val="18"/>
        </w:rPr>
        <w:t>g</w:t>
      </w:r>
      <w:r w:rsidR="00EC7704" w:rsidRPr="00EC7704">
        <w:rPr>
          <w:rFonts w:ascii="Tw Cen MT" w:eastAsia="Tw Cen MT" w:hAnsi="Tw Cen MT" w:cs="Tw Cen MT"/>
          <w:b w:val="0"/>
          <w:bCs w:val="0"/>
          <w:sz w:val="18"/>
          <w:szCs w:val="18"/>
        </w:rPr>
        <w:t>.</w:t>
      </w:r>
      <w:r w:rsidR="00EC7704">
        <w:rPr>
          <w:rFonts w:ascii="Tw Cen MT" w:eastAsia="Tw Cen MT" w:hAnsi="Tw Cen MT" w:cs="Tw Cen MT"/>
          <w:b w:val="0"/>
          <w:bCs w:val="0"/>
          <w:sz w:val="18"/>
          <w:szCs w:val="18"/>
        </w:rPr>
        <w:t xml:space="preserve"> </w:t>
      </w:r>
      <w:r w:rsidR="00DB5D4D">
        <w:rPr>
          <w:rFonts w:ascii="Tw Cen MT" w:eastAsia="Tw Cen MT" w:hAnsi="Tw Cen MT" w:cs="Tw Cen MT"/>
          <w:b w:val="0"/>
          <w:bCs w:val="0"/>
          <w:sz w:val="18"/>
          <w:szCs w:val="18"/>
        </w:rPr>
        <w:t>I</w:t>
      </w:r>
      <w:r w:rsidR="00EC7704" w:rsidRPr="00EC7704">
        <w:rPr>
          <w:rFonts w:ascii="Tw Cen MT" w:eastAsia="Tw Cen MT" w:hAnsi="Tw Cen MT" w:cs="Tw Cen MT"/>
          <w:b w:val="0"/>
          <w:bCs w:val="0"/>
          <w:sz w:val="18"/>
          <w:szCs w:val="18"/>
        </w:rPr>
        <w:t xml:space="preserve">nitial </w:t>
      </w:r>
      <w:r w:rsidR="00124255">
        <w:rPr>
          <w:rFonts w:ascii="Tw Cen MT" w:eastAsia="Tw Cen MT" w:hAnsi="Tw Cen MT" w:cs="Tw Cen MT"/>
          <w:b w:val="0"/>
          <w:bCs w:val="0"/>
          <w:sz w:val="18"/>
          <w:szCs w:val="18"/>
        </w:rPr>
        <w:t xml:space="preserve">dry blend </w:t>
      </w:r>
      <w:r w:rsidR="00EC7704" w:rsidRPr="00EC7704">
        <w:rPr>
          <w:rFonts w:ascii="Tw Cen MT" w:eastAsia="Tw Cen MT" w:hAnsi="Tw Cen MT" w:cs="Tw Cen MT"/>
          <w:b w:val="0"/>
          <w:bCs w:val="0"/>
          <w:sz w:val="18"/>
          <w:szCs w:val="18"/>
        </w:rPr>
        <w:t xml:space="preserve">APC was an average 50000 CFU/g. Figure 1 shows </w:t>
      </w:r>
      <w:r w:rsidR="00124255">
        <w:rPr>
          <w:rFonts w:ascii="Tw Cen MT" w:eastAsia="Tw Cen MT" w:hAnsi="Tw Cen MT" w:cs="Tw Cen MT"/>
          <w:b w:val="0"/>
          <w:bCs w:val="0"/>
          <w:sz w:val="18"/>
          <w:szCs w:val="18"/>
        </w:rPr>
        <w:t>a</w:t>
      </w:r>
      <w:r w:rsidR="00EC7704" w:rsidRPr="00EC7704">
        <w:rPr>
          <w:rFonts w:ascii="Tw Cen MT" w:eastAsia="Tw Cen MT" w:hAnsi="Tw Cen MT" w:cs="Tw Cen MT"/>
          <w:b w:val="0"/>
          <w:bCs w:val="0"/>
          <w:sz w:val="18"/>
          <w:szCs w:val="18"/>
        </w:rPr>
        <w:t xml:space="preserve"> </w:t>
      </w:r>
      <w:r w:rsidR="00EC7704" w:rsidRPr="00EC7704">
        <w:rPr>
          <w:rFonts w:ascii="Tw Cen MT" w:eastAsia="Tw Cen MT" w:hAnsi="Tw Cen MT" w:cs="Tw Cen MT"/>
          <w:b w:val="0"/>
          <w:bCs w:val="0"/>
          <w:sz w:val="18"/>
          <w:szCs w:val="18"/>
        </w:rPr>
        <w:t>1.3-fold</w:t>
      </w:r>
      <w:r w:rsidR="00EC7704" w:rsidRPr="00EC7704">
        <w:rPr>
          <w:rFonts w:ascii="Tw Cen MT" w:eastAsia="Tw Cen MT" w:hAnsi="Tw Cen MT" w:cs="Tw Cen MT"/>
          <w:b w:val="0"/>
          <w:bCs w:val="0"/>
          <w:sz w:val="18"/>
          <w:szCs w:val="18"/>
        </w:rPr>
        <w:t xml:space="preserve"> decrease in APC after the milling step post high shear granulation while a </w:t>
      </w:r>
      <w:r w:rsidR="00EC7704" w:rsidRPr="00EC7704">
        <w:rPr>
          <w:rFonts w:ascii="Tw Cen MT" w:eastAsia="Tw Cen MT" w:hAnsi="Tw Cen MT" w:cs="Tw Cen MT"/>
          <w:b w:val="0"/>
          <w:bCs w:val="0"/>
          <w:sz w:val="18"/>
          <w:szCs w:val="18"/>
        </w:rPr>
        <w:t>3.5-fold</w:t>
      </w:r>
      <w:r w:rsidR="00EC7704" w:rsidRPr="00EC7704">
        <w:rPr>
          <w:rFonts w:ascii="Tw Cen MT" w:eastAsia="Tw Cen MT" w:hAnsi="Tw Cen MT" w:cs="Tw Cen MT"/>
          <w:b w:val="0"/>
          <w:bCs w:val="0"/>
          <w:sz w:val="18"/>
          <w:szCs w:val="18"/>
        </w:rPr>
        <w:t xml:space="preserve"> kill after the drying step in fluidized bed drier. Post tableting, a </w:t>
      </w:r>
      <w:r w:rsidR="00EC7704" w:rsidRPr="00EC7704">
        <w:rPr>
          <w:rFonts w:ascii="Tw Cen MT" w:eastAsia="Tw Cen MT" w:hAnsi="Tw Cen MT" w:cs="Tw Cen MT"/>
          <w:b w:val="0"/>
          <w:bCs w:val="0"/>
          <w:sz w:val="18"/>
          <w:szCs w:val="18"/>
        </w:rPr>
        <w:t>47-fold</w:t>
      </w:r>
      <w:r w:rsidR="00EC7704" w:rsidRPr="00EC7704">
        <w:rPr>
          <w:rFonts w:ascii="Tw Cen MT" w:eastAsia="Tw Cen MT" w:hAnsi="Tw Cen MT" w:cs="Tw Cen MT"/>
          <w:b w:val="0"/>
          <w:bCs w:val="0"/>
          <w:sz w:val="18"/>
          <w:szCs w:val="18"/>
        </w:rPr>
        <w:t xml:space="preserve"> </w:t>
      </w:r>
      <w:r w:rsidR="00124255">
        <w:rPr>
          <w:rFonts w:ascii="Tw Cen MT" w:eastAsia="Tw Cen MT" w:hAnsi="Tw Cen MT" w:cs="Tw Cen MT"/>
          <w:b w:val="0"/>
          <w:bCs w:val="0"/>
          <w:sz w:val="18"/>
          <w:szCs w:val="18"/>
        </w:rPr>
        <w:t xml:space="preserve">APC </w:t>
      </w:r>
      <w:r w:rsidR="00EC7704" w:rsidRPr="00EC7704">
        <w:rPr>
          <w:rFonts w:ascii="Tw Cen MT" w:eastAsia="Tw Cen MT" w:hAnsi="Tw Cen MT" w:cs="Tw Cen MT"/>
          <w:b w:val="0"/>
          <w:bCs w:val="0"/>
          <w:sz w:val="18"/>
          <w:szCs w:val="18"/>
        </w:rPr>
        <w:t xml:space="preserve">decrease was observed for low compression forces while a </w:t>
      </w:r>
      <w:r w:rsidR="00EC7704" w:rsidRPr="00EC7704">
        <w:rPr>
          <w:rFonts w:ascii="Tw Cen MT" w:eastAsia="Tw Cen MT" w:hAnsi="Tw Cen MT" w:cs="Tw Cen MT"/>
          <w:b w:val="0"/>
          <w:bCs w:val="0"/>
          <w:sz w:val="18"/>
          <w:szCs w:val="18"/>
        </w:rPr>
        <w:t>50-fold</w:t>
      </w:r>
      <w:r w:rsidR="00EC7704" w:rsidRPr="00EC7704">
        <w:rPr>
          <w:rFonts w:ascii="Tw Cen MT" w:eastAsia="Tw Cen MT" w:hAnsi="Tw Cen MT" w:cs="Tw Cen MT"/>
          <w:b w:val="0"/>
          <w:bCs w:val="0"/>
          <w:sz w:val="18"/>
          <w:szCs w:val="18"/>
        </w:rPr>
        <w:t xml:space="preserve"> for high forces. </w:t>
      </w:r>
      <w:r w:rsidR="00124255">
        <w:rPr>
          <w:rFonts w:ascii="Tw Cen MT" w:eastAsia="Tw Cen MT" w:hAnsi="Tw Cen MT" w:cs="Tw Cen MT"/>
          <w:b w:val="0"/>
          <w:bCs w:val="0"/>
          <w:sz w:val="18"/>
          <w:szCs w:val="18"/>
        </w:rPr>
        <w:t>H</w:t>
      </w:r>
      <w:r w:rsidR="00EC7704" w:rsidRPr="00EC7704">
        <w:rPr>
          <w:rFonts w:ascii="Tw Cen MT" w:eastAsia="Tw Cen MT" w:hAnsi="Tw Cen MT" w:cs="Tw Cen MT"/>
          <w:b w:val="0"/>
          <w:bCs w:val="0"/>
          <w:sz w:val="18"/>
          <w:szCs w:val="18"/>
        </w:rPr>
        <w:t xml:space="preserve">igh rate of microbial kill during tableting could be attributed to the high shear forces and localized heating while the press is running. This work takes a deep dive into identification and optimization of each processing step involved in tableting </w:t>
      </w:r>
      <w:proofErr w:type="gramStart"/>
      <w:r w:rsidR="00124255" w:rsidRPr="00EC7704">
        <w:rPr>
          <w:rFonts w:ascii="Tw Cen MT" w:eastAsia="Tw Cen MT" w:hAnsi="Tw Cen MT" w:cs="Tw Cen MT"/>
          <w:b w:val="0"/>
          <w:bCs w:val="0"/>
          <w:sz w:val="18"/>
          <w:szCs w:val="18"/>
        </w:rPr>
        <w:t>in regard to</w:t>
      </w:r>
      <w:proofErr w:type="gramEnd"/>
      <w:r w:rsidR="00EC7704" w:rsidRPr="00EC7704">
        <w:rPr>
          <w:rFonts w:ascii="Tw Cen MT" w:eastAsia="Tw Cen MT" w:hAnsi="Tw Cen MT" w:cs="Tw Cen MT"/>
          <w:b w:val="0"/>
          <w:bCs w:val="0"/>
          <w:sz w:val="18"/>
          <w:szCs w:val="18"/>
        </w:rPr>
        <w:t xml:space="preserve"> the microbial load of the final formulations.</w:t>
      </w:r>
      <w:r w:rsidR="00EC7704" w:rsidRPr="00EC7704">
        <w:rPr>
          <w:rFonts w:ascii="Tw Cen MT" w:eastAsia="Tw Cen MT" w:hAnsi="Tw Cen MT" w:cs="Tw Cen MT"/>
          <w:b w:val="0"/>
          <w:bCs w:val="0"/>
          <w:sz w:val="18"/>
          <w:szCs w:val="18"/>
        </w:rPr>
        <w:tab/>
      </w:r>
      <w:r w:rsidR="00A9710C">
        <w:rPr>
          <w:b w:val="0"/>
        </w:rPr>
        <w:br w:type="column"/>
      </w:r>
      <w:r>
        <w:rPr>
          <w:color w:val="BF5A14"/>
        </w:rPr>
        <w:t>Table 1</w:t>
      </w:r>
    </w:p>
    <w:p w14:paraId="6D83EE97" w14:textId="6732AD22" w:rsidR="00AE3E37" w:rsidRDefault="0013106D">
      <w:pPr>
        <w:pStyle w:val="BodyText"/>
        <w:spacing w:before="2"/>
        <w:rPr>
          <w:rFonts w:ascii="Arial"/>
          <w:b/>
          <w:sz w:val="16"/>
        </w:rPr>
      </w:pPr>
      <w:r>
        <w:rPr>
          <w:rFonts w:ascii="Times New Roman" w:hAnsi="Times New Roman" w:cs="Times New Roman"/>
          <w:noProof/>
          <w:sz w:val="24"/>
          <w:szCs w:val="24"/>
        </w:rPr>
        <w:drawing>
          <wp:inline distT="0" distB="0" distL="0" distR="0" wp14:anchorId="0151946A" wp14:editId="60D3201F">
            <wp:extent cx="3165475" cy="12007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200773"/>
                    </a:xfrm>
                    <a:prstGeom prst="rect">
                      <a:avLst/>
                    </a:prstGeom>
                  </pic:spPr>
                </pic:pic>
              </a:graphicData>
            </a:graphic>
          </wp:inline>
        </w:drawing>
      </w:r>
    </w:p>
    <w:p w14:paraId="1E28CD24" w14:textId="1E52A51D" w:rsidR="001F0F2B" w:rsidRDefault="001F0F2B">
      <w:pPr>
        <w:pStyle w:val="BodyText"/>
        <w:spacing w:before="2"/>
        <w:rPr>
          <w:rFonts w:ascii="Arial"/>
          <w:b/>
          <w:sz w:val="16"/>
        </w:rPr>
      </w:pPr>
    </w:p>
    <w:p w14:paraId="63950480" w14:textId="78033D56" w:rsidR="001F0F2B" w:rsidRPr="001F0F2B" w:rsidRDefault="001F0F2B">
      <w:pPr>
        <w:pStyle w:val="BodyText"/>
        <w:spacing w:before="2"/>
        <w:rPr>
          <w:rFonts w:ascii="Arial" w:hAnsi="Arial" w:cs="Arial"/>
          <w:b/>
          <w:sz w:val="20"/>
          <w:szCs w:val="20"/>
        </w:rPr>
      </w:pPr>
      <w:r>
        <w:rPr>
          <w:rFonts w:ascii="Arial" w:hAnsi="Arial" w:cs="Arial"/>
          <w:b/>
          <w:color w:val="BF5A14"/>
          <w:sz w:val="20"/>
          <w:szCs w:val="20"/>
        </w:rPr>
        <w:t xml:space="preserve">Figure </w:t>
      </w:r>
      <w:r w:rsidRPr="001F0F2B">
        <w:rPr>
          <w:rFonts w:ascii="Arial" w:hAnsi="Arial" w:cs="Arial"/>
          <w:b/>
          <w:color w:val="BF5A14"/>
          <w:sz w:val="20"/>
          <w:szCs w:val="20"/>
        </w:rPr>
        <w:t>1</w:t>
      </w:r>
    </w:p>
    <w:p w14:paraId="4F6A65F1" w14:textId="1CF8667D" w:rsidR="0013106D" w:rsidRDefault="0013106D">
      <w:pPr>
        <w:pStyle w:val="BodyText"/>
        <w:spacing w:before="2"/>
        <w:rPr>
          <w:rFonts w:ascii="Arial"/>
          <w:b/>
          <w:sz w:val="16"/>
        </w:rPr>
      </w:pPr>
    </w:p>
    <w:p w14:paraId="00809D7C" w14:textId="232940BB" w:rsidR="0013106D" w:rsidRDefault="0013106D">
      <w:pPr>
        <w:pStyle w:val="BodyText"/>
        <w:spacing w:before="2"/>
        <w:rPr>
          <w:rFonts w:ascii="Arial"/>
          <w:b/>
          <w:sz w:val="16"/>
        </w:rPr>
      </w:pPr>
      <w:r>
        <w:rPr>
          <w:noProof/>
        </w:rPr>
        <w:drawing>
          <wp:inline distT="0" distB="0" distL="0" distR="0" wp14:anchorId="00A51CA1" wp14:editId="18217099">
            <wp:extent cx="3165475" cy="1385267"/>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LOA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385267"/>
                    </a:xfrm>
                    <a:prstGeom prst="rect">
                      <a:avLst/>
                    </a:prstGeom>
                  </pic:spPr>
                </pic:pic>
              </a:graphicData>
            </a:graphic>
          </wp:inline>
        </w:drawing>
      </w:r>
    </w:p>
    <w:p w14:paraId="48E24003" w14:textId="77777777" w:rsidR="001F0F2B" w:rsidRDefault="001F0F2B">
      <w:pPr>
        <w:spacing w:before="157"/>
        <w:ind w:left="100"/>
        <w:rPr>
          <w:rFonts w:ascii="Arial"/>
          <w:b/>
          <w:color w:val="BF5A14"/>
          <w:sz w:val="20"/>
        </w:rPr>
      </w:pPr>
    </w:p>
    <w:p w14:paraId="6B7934E6" w14:textId="77777777" w:rsidR="001F0F2B" w:rsidRDefault="001F0F2B">
      <w:pPr>
        <w:spacing w:before="157"/>
        <w:ind w:left="100"/>
        <w:rPr>
          <w:rFonts w:ascii="Arial"/>
          <w:b/>
          <w:color w:val="BF5A14"/>
          <w:sz w:val="20"/>
        </w:rPr>
      </w:pPr>
    </w:p>
    <w:p w14:paraId="2C9DC178" w14:textId="77777777" w:rsidR="001F0F2B" w:rsidRDefault="001F0F2B">
      <w:pPr>
        <w:spacing w:before="157"/>
        <w:ind w:left="100"/>
        <w:rPr>
          <w:rFonts w:ascii="Arial"/>
          <w:b/>
          <w:color w:val="BF5A14"/>
          <w:sz w:val="20"/>
        </w:rPr>
      </w:pPr>
    </w:p>
    <w:p w14:paraId="059091C9" w14:textId="77777777" w:rsidR="001F0F2B" w:rsidRDefault="001F0F2B">
      <w:pPr>
        <w:spacing w:before="157"/>
        <w:ind w:left="100"/>
        <w:rPr>
          <w:rFonts w:ascii="Arial"/>
          <w:b/>
          <w:color w:val="BF5A14"/>
          <w:sz w:val="20"/>
        </w:rPr>
      </w:pPr>
    </w:p>
    <w:p w14:paraId="1FD8C0BF" w14:textId="77777777" w:rsidR="001F0F2B" w:rsidRDefault="001F0F2B">
      <w:pPr>
        <w:spacing w:before="157"/>
        <w:ind w:left="100"/>
        <w:rPr>
          <w:rFonts w:ascii="Arial"/>
          <w:b/>
          <w:color w:val="BF5A14"/>
          <w:sz w:val="20"/>
        </w:rPr>
      </w:pPr>
    </w:p>
    <w:p w14:paraId="6630ED14" w14:textId="77777777" w:rsidR="001F0F2B" w:rsidRDefault="001F0F2B">
      <w:pPr>
        <w:spacing w:before="157"/>
        <w:ind w:left="100"/>
        <w:rPr>
          <w:rFonts w:ascii="Arial"/>
          <w:b/>
          <w:color w:val="BF5A14"/>
          <w:sz w:val="20"/>
        </w:rPr>
      </w:pPr>
    </w:p>
    <w:p w14:paraId="7C84F846" w14:textId="77777777" w:rsidR="001F0F2B" w:rsidRDefault="001F0F2B">
      <w:pPr>
        <w:spacing w:before="157"/>
        <w:ind w:left="100"/>
        <w:rPr>
          <w:rFonts w:ascii="Arial"/>
          <w:b/>
          <w:color w:val="BF5A14"/>
          <w:sz w:val="20"/>
        </w:rPr>
      </w:pPr>
    </w:p>
    <w:p w14:paraId="65784815" w14:textId="77777777" w:rsidR="001F0F2B" w:rsidRDefault="001F0F2B">
      <w:pPr>
        <w:spacing w:before="157"/>
        <w:ind w:left="100"/>
        <w:rPr>
          <w:rFonts w:ascii="Arial"/>
          <w:b/>
          <w:color w:val="BF5A14"/>
          <w:sz w:val="20"/>
        </w:rPr>
      </w:pPr>
    </w:p>
    <w:p w14:paraId="01890AF3" w14:textId="77777777" w:rsidR="001F0F2B" w:rsidRDefault="001F0F2B">
      <w:pPr>
        <w:spacing w:before="157"/>
        <w:ind w:left="100"/>
        <w:rPr>
          <w:rFonts w:ascii="Arial"/>
          <w:b/>
          <w:color w:val="BF5A14"/>
          <w:sz w:val="20"/>
        </w:rPr>
      </w:pPr>
    </w:p>
    <w:p w14:paraId="1CDA05D5" w14:textId="77777777" w:rsidR="001F0F2B" w:rsidRDefault="001F0F2B">
      <w:pPr>
        <w:spacing w:before="157"/>
        <w:ind w:left="100"/>
        <w:rPr>
          <w:rFonts w:ascii="Arial"/>
          <w:b/>
          <w:color w:val="BF5A14"/>
          <w:sz w:val="20"/>
        </w:rPr>
      </w:pPr>
    </w:p>
    <w:p w14:paraId="7474AF9B" w14:textId="77777777" w:rsidR="001F0F2B" w:rsidRDefault="001F0F2B">
      <w:pPr>
        <w:spacing w:before="157"/>
        <w:ind w:left="100"/>
        <w:rPr>
          <w:rFonts w:ascii="Arial"/>
          <w:b/>
          <w:color w:val="BF5A14"/>
          <w:sz w:val="20"/>
        </w:rPr>
      </w:pPr>
    </w:p>
    <w:p w14:paraId="7A9C9007" w14:textId="77777777" w:rsidR="001F0F2B" w:rsidRDefault="001F0F2B">
      <w:pPr>
        <w:spacing w:before="157"/>
        <w:ind w:left="100"/>
        <w:rPr>
          <w:rFonts w:ascii="Arial"/>
          <w:b/>
          <w:color w:val="BF5A14"/>
          <w:sz w:val="20"/>
        </w:rPr>
      </w:pPr>
    </w:p>
    <w:p w14:paraId="4F3D893C" w14:textId="77777777" w:rsidR="001F0F2B" w:rsidRDefault="001F0F2B">
      <w:pPr>
        <w:spacing w:before="157"/>
        <w:ind w:left="100"/>
        <w:rPr>
          <w:rFonts w:ascii="Arial"/>
          <w:b/>
          <w:color w:val="BF5A14"/>
          <w:sz w:val="20"/>
        </w:rPr>
      </w:pPr>
    </w:p>
    <w:p w14:paraId="0E6AF442" w14:textId="77777777" w:rsidR="001F0F2B" w:rsidRDefault="001F0F2B">
      <w:pPr>
        <w:spacing w:before="157"/>
        <w:ind w:left="100"/>
        <w:rPr>
          <w:rFonts w:ascii="Arial"/>
          <w:b/>
          <w:color w:val="BF5A14"/>
          <w:sz w:val="20"/>
        </w:rPr>
      </w:pPr>
    </w:p>
    <w:p w14:paraId="21F17645" w14:textId="77777777" w:rsidR="001F0F2B" w:rsidRDefault="001F0F2B">
      <w:pPr>
        <w:spacing w:before="157"/>
        <w:ind w:left="100"/>
        <w:rPr>
          <w:rFonts w:ascii="Arial"/>
          <w:b/>
          <w:color w:val="BF5A14"/>
          <w:sz w:val="20"/>
        </w:rPr>
      </w:pPr>
    </w:p>
    <w:p w14:paraId="55F46888" w14:textId="77777777" w:rsidR="001F0F2B" w:rsidRDefault="001F0F2B">
      <w:pPr>
        <w:spacing w:before="157"/>
        <w:ind w:left="100"/>
        <w:rPr>
          <w:rFonts w:ascii="Arial"/>
          <w:b/>
          <w:color w:val="BF5A14"/>
          <w:sz w:val="20"/>
        </w:rPr>
      </w:pPr>
    </w:p>
    <w:p w14:paraId="6EC88951" w14:textId="77777777" w:rsidR="001F0F2B" w:rsidRDefault="001F0F2B">
      <w:pPr>
        <w:spacing w:before="157"/>
        <w:ind w:left="100"/>
        <w:rPr>
          <w:rFonts w:ascii="Arial"/>
          <w:b/>
          <w:color w:val="BF5A14"/>
          <w:sz w:val="20"/>
        </w:rPr>
      </w:pPr>
    </w:p>
    <w:p w14:paraId="015E8A5E" w14:textId="77777777" w:rsidR="001F0F2B" w:rsidRDefault="001F0F2B" w:rsidP="001F0F2B">
      <w:pPr>
        <w:spacing w:before="157"/>
        <w:rPr>
          <w:rFonts w:ascii="Arial"/>
          <w:b/>
          <w:color w:val="BF5A14"/>
          <w:sz w:val="20"/>
        </w:rPr>
      </w:pPr>
    </w:p>
    <w:p w14:paraId="7965096B" w14:textId="7CAFDA81" w:rsidR="00AE3E37" w:rsidRDefault="00414F7B">
      <w:pPr>
        <w:spacing w:before="157"/>
        <w:ind w:left="100"/>
        <w:rPr>
          <w:rFonts w:ascii="Arial"/>
          <w:b/>
          <w:color w:val="BF5A14"/>
          <w:sz w:val="20"/>
        </w:rPr>
      </w:pPr>
      <w:r>
        <w:rPr>
          <w:rFonts w:ascii="Arial"/>
          <w:b/>
          <w:color w:val="BF5A14"/>
          <w:sz w:val="20"/>
        </w:rPr>
        <w:lastRenderedPageBreak/>
        <w:t>Recent publi</w:t>
      </w:r>
      <w:r w:rsidR="00C33602">
        <w:rPr>
          <w:rFonts w:ascii="Arial"/>
          <w:b/>
          <w:color w:val="BF5A14"/>
          <w:sz w:val="20"/>
        </w:rPr>
        <w:t xml:space="preserve">cations </w:t>
      </w:r>
    </w:p>
    <w:p w14:paraId="207EB27B" w14:textId="77777777" w:rsidR="0013106D" w:rsidRPr="0013106D" w:rsidRDefault="0013106D" w:rsidP="0013106D">
      <w:pPr>
        <w:spacing w:before="157"/>
        <w:ind w:left="100"/>
        <w:rPr>
          <w:rFonts w:ascii="Arial"/>
          <w:b/>
          <w:sz w:val="16"/>
        </w:rPr>
      </w:pPr>
      <w:r w:rsidRPr="0013106D">
        <w:rPr>
          <w:rFonts w:ascii="Arial"/>
          <w:b/>
          <w:sz w:val="16"/>
        </w:rPr>
        <w:t>•</w:t>
      </w:r>
      <w:r w:rsidRPr="0013106D">
        <w:rPr>
          <w:rFonts w:ascii="Arial"/>
          <w:b/>
          <w:sz w:val="16"/>
        </w:rPr>
        <w:tab/>
        <w:t xml:space="preserve">Smruti P. Chaudhari, Rohit P. Dugar. Application of surfactants in solid dispersion technology for improving solubility of poorly water soluble drugs. Journal of Drug Delivery Science and Technology. https://doi.org/10.1016/j.jddst.2017.06.010. </w:t>
      </w:r>
    </w:p>
    <w:p w14:paraId="3791EC28" w14:textId="77777777" w:rsidR="0013106D" w:rsidRPr="0013106D" w:rsidRDefault="0013106D" w:rsidP="0013106D">
      <w:pPr>
        <w:spacing w:before="157"/>
        <w:ind w:left="100"/>
        <w:rPr>
          <w:rFonts w:ascii="Arial"/>
          <w:b/>
          <w:sz w:val="16"/>
        </w:rPr>
      </w:pPr>
      <w:r w:rsidRPr="0013106D">
        <w:rPr>
          <w:rFonts w:ascii="Arial"/>
          <w:b/>
          <w:sz w:val="16"/>
        </w:rPr>
        <w:t>•</w:t>
      </w:r>
      <w:r w:rsidRPr="0013106D">
        <w:rPr>
          <w:rFonts w:ascii="Arial"/>
          <w:b/>
          <w:sz w:val="16"/>
        </w:rPr>
        <w:tab/>
        <w:t>Bhavin Y. Gajera, Rohit P. Dugar, Rutesh H. Dave. Formulation development and optimization of Ibuprofen poloxamer melt granules using hydrophilic excipients. British Journal of Pharmaceutical Research. 10.9734/BJPR/2016/29048. ISSN: 2231-2919, Vol.: 13, Issue.: 6. Published: 7th November 2016.</w:t>
      </w:r>
    </w:p>
    <w:p w14:paraId="741D7B57" w14:textId="77777777" w:rsidR="0013106D" w:rsidRPr="0013106D" w:rsidRDefault="0013106D" w:rsidP="0013106D">
      <w:pPr>
        <w:spacing w:before="157"/>
        <w:ind w:left="100"/>
        <w:rPr>
          <w:rFonts w:ascii="Arial"/>
          <w:b/>
          <w:sz w:val="16"/>
        </w:rPr>
      </w:pPr>
      <w:r w:rsidRPr="0013106D">
        <w:rPr>
          <w:rFonts w:ascii="Arial"/>
          <w:b/>
          <w:sz w:val="16"/>
        </w:rPr>
        <w:t>•</w:t>
      </w:r>
      <w:r w:rsidRPr="0013106D">
        <w:rPr>
          <w:rFonts w:ascii="Arial"/>
          <w:b/>
          <w:sz w:val="16"/>
        </w:rPr>
        <w:tab/>
        <w:t>Rohit P. Dugar, Rutesh H. Dave, Bhavin Y. Gajera. Fusion method for solubility and dissolution rate enhancement of ibuprofen using block copolymer poloxamer 407. AAPS Pharm Sci Tech. 10.1208/s12249-016-0482-6. December 2016, Volume 17, Issue 6, pp 1428</w:t>
      </w:r>
      <w:r w:rsidRPr="0013106D">
        <w:rPr>
          <w:rFonts w:ascii="Arial"/>
          <w:b/>
          <w:sz w:val="16"/>
        </w:rPr>
        <w:t>–</w:t>
      </w:r>
      <w:r w:rsidRPr="0013106D">
        <w:rPr>
          <w:rFonts w:ascii="Arial"/>
          <w:b/>
          <w:sz w:val="16"/>
        </w:rPr>
        <w:t>1440. Published: 27th January 2016.</w:t>
      </w:r>
    </w:p>
    <w:p w14:paraId="2A11BD61" w14:textId="77777777" w:rsidR="0013106D" w:rsidRPr="0013106D" w:rsidRDefault="0013106D" w:rsidP="0013106D">
      <w:pPr>
        <w:spacing w:before="157"/>
        <w:ind w:left="100"/>
        <w:rPr>
          <w:rFonts w:ascii="Arial"/>
          <w:b/>
          <w:sz w:val="16"/>
        </w:rPr>
      </w:pPr>
      <w:r w:rsidRPr="0013106D">
        <w:rPr>
          <w:rFonts w:ascii="Arial"/>
          <w:b/>
          <w:sz w:val="16"/>
        </w:rPr>
        <w:t>•</w:t>
      </w:r>
      <w:r w:rsidRPr="0013106D">
        <w:rPr>
          <w:rFonts w:ascii="Arial"/>
          <w:b/>
          <w:sz w:val="16"/>
        </w:rPr>
        <w:tab/>
        <w:t>Rohit P. Dugar, Priyadarshi Gupta, Rutesh H. Dave. Effect of relative humidity on Acetaminophen tablet properties prepared by different techniques using Polyvinylpyrrolidine derivatives as binder. International Journal of Pharmaceutical Sciences and Research. http://dx.doi.org/10.13040/IJPSR.0975-8232.6(11).4629-38. Dugar et al., IJPSR, 2015; Vol. 6(11): 4629-4638. Published on 1st November 2015.</w:t>
      </w:r>
    </w:p>
    <w:p w14:paraId="3501141D" w14:textId="059B06FC" w:rsidR="0013106D" w:rsidRPr="0013106D" w:rsidRDefault="0013106D" w:rsidP="0013106D">
      <w:pPr>
        <w:spacing w:before="157"/>
        <w:ind w:left="100"/>
        <w:rPr>
          <w:rFonts w:ascii="Arial"/>
          <w:b/>
          <w:sz w:val="16"/>
        </w:rPr>
      </w:pPr>
      <w:r w:rsidRPr="0013106D">
        <w:rPr>
          <w:rFonts w:ascii="Arial"/>
          <w:b/>
          <w:sz w:val="16"/>
        </w:rPr>
        <w:t>•</w:t>
      </w:r>
      <w:r w:rsidRPr="0013106D">
        <w:rPr>
          <w:rFonts w:ascii="Arial"/>
          <w:b/>
          <w:sz w:val="16"/>
        </w:rPr>
        <w:tab/>
        <w:t xml:space="preserve">Rohit P. Dugar, Rutesh H. Dave. To determine the optimum wet granulation </w:t>
      </w:r>
      <w:proofErr w:type="gramStart"/>
      <w:r w:rsidRPr="0013106D">
        <w:rPr>
          <w:rFonts w:ascii="Arial"/>
          <w:b/>
          <w:sz w:val="16"/>
        </w:rPr>
        <w:t>end point</w:t>
      </w:r>
      <w:proofErr w:type="gramEnd"/>
      <w:r w:rsidRPr="0013106D">
        <w:rPr>
          <w:rFonts w:ascii="Arial"/>
          <w:b/>
          <w:sz w:val="16"/>
        </w:rPr>
        <w:t xml:space="preserve"> and study the fundamental rheological and thermal properties of Microcrystalline Cellulose using Hydroxypropyl Methylcellulose as a binder with different solvents. International Journal of Pharmaceutical Sciences and Research. http://dx.doi.org/10.13040/IJPSR.0975-8232.5(9).3616-26. Dugar and Dave, IJPSR, 2014; Vol. 5(9): 3616-3626. Published: 1st September 2014.</w:t>
      </w:r>
    </w:p>
    <w:p w14:paraId="44780F74"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926DAC6" w14:textId="77777777" w:rsidR="00AE3E37" w:rsidRDefault="00AE3E37">
      <w:pPr>
        <w:pStyle w:val="BodyText"/>
        <w:rPr>
          <w:rFonts w:ascii="Calibri"/>
          <w:sz w:val="20"/>
        </w:rPr>
      </w:pPr>
    </w:p>
    <w:p w14:paraId="32A3826C" w14:textId="73F013BC" w:rsidR="00AE3E37" w:rsidRDefault="00EC7704">
      <w:pPr>
        <w:pStyle w:val="BodyText"/>
        <w:spacing w:before="5" w:after="1"/>
        <w:rPr>
          <w:rFonts w:ascii="Calibri"/>
          <w:sz w:val="29"/>
        </w:rPr>
      </w:pPr>
      <w:r>
        <w:rPr>
          <w:noProof/>
        </w:rPr>
        <w:drawing>
          <wp:anchor distT="0" distB="0" distL="114300" distR="114300" simplePos="0" relativeHeight="251659264" behindDoc="0" locked="0" layoutInCell="1" allowOverlap="1" wp14:anchorId="402A3878" wp14:editId="4B960002">
            <wp:simplePos x="0" y="0"/>
            <wp:positionH relativeFrom="column">
              <wp:posOffset>-3175</wp:posOffset>
            </wp:positionH>
            <wp:positionV relativeFrom="paragraph">
              <wp:posOffset>233045</wp:posOffset>
            </wp:positionV>
            <wp:extent cx="892810" cy="1129665"/>
            <wp:effectExtent l="0" t="0" r="254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92810" cy="1129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CF2E51" w14:textId="77777777"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14:anchorId="0090DFFC" wp14:editId="50ED718E">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C2D0F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3830C566" w14:textId="5AA0AA61" w:rsidR="00AE3E37" w:rsidRDefault="00404E5B" w:rsidP="00404E5B">
      <w:pPr>
        <w:spacing w:before="92"/>
        <w:ind w:right="4234"/>
        <w:rPr>
          <w:rFonts w:ascii="Arial"/>
        </w:rPr>
      </w:pPr>
      <w:r>
        <w:rPr>
          <w:rFonts w:ascii="Arial"/>
          <w:color w:val="BF5A14"/>
        </w:rPr>
        <w:t xml:space="preserve">                                          </w:t>
      </w:r>
      <w:r w:rsidR="00A9710C">
        <w:rPr>
          <w:rFonts w:ascii="Arial"/>
          <w:color w:val="BF5A14"/>
        </w:rPr>
        <w:t>Biography</w:t>
      </w:r>
    </w:p>
    <w:p w14:paraId="4211AA14" w14:textId="54FA8B6C" w:rsidR="00AE3E37" w:rsidRDefault="0013106D">
      <w:pPr>
        <w:spacing w:before="41" w:line="154" w:lineRule="exact"/>
        <w:ind w:left="213" w:right="231"/>
        <w:jc w:val="both"/>
        <w:rPr>
          <w:rFonts w:ascii="Arial"/>
          <w:sz w:val="14"/>
        </w:rPr>
      </w:pPr>
      <w:r>
        <w:rPr>
          <w:rFonts w:ascii="Arial"/>
          <w:sz w:val="14"/>
        </w:rPr>
        <w:t xml:space="preserve">Rohit P. Dugar, Ph.D. is currently working as a formulation scientist at Nutrilite health </w:t>
      </w:r>
      <w:r w:rsidR="00DB5D4D">
        <w:rPr>
          <w:rFonts w:ascii="Arial"/>
          <w:sz w:val="14"/>
        </w:rPr>
        <w:t>I</w:t>
      </w:r>
      <w:r>
        <w:rPr>
          <w:rFonts w:ascii="Arial"/>
          <w:sz w:val="14"/>
        </w:rPr>
        <w:t xml:space="preserve">nstitute in the supplement product development group. His current role entails development and optimization of formulas for new supplement products for global and regional launches. His expertise spans in various areas of solid dosage form design including the formulation design and process engineering of several drug delivery systems. Dr. Dugar has extensively worked on tableting sciences and its related parameters during his graduate career. His interests are novel drug delivery systems, bioavailability enhancements of botanicals, stability optimization for natural products and several others. He has published 6 peer reviewed publication in </w:t>
      </w:r>
      <w:r w:rsidR="00DB5D4D">
        <w:rPr>
          <w:rFonts w:ascii="Arial"/>
          <w:sz w:val="14"/>
        </w:rPr>
        <w:t xml:space="preserve">a </w:t>
      </w:r>
      <w:r>
        <w:rPr>
          <w:rFonts w:ascii="Arial"/>
          <w:sz w:val="14"/>
        </w:rPr>
        <w:t>wide variety of areas related to pharmaceutical dosage from design. He has presented several posters at national conferences throughout USA about his research work</w:t>
      </w:r>
      <w:bookmarkStart w:id="0" w:name="_GoBack"/>
      <w:bookmarkEnd w:id="0"/>
      <w:r>
        <w:rPr>
          <w:rFonts w:ascii="Arial"/>
          <w:sz w:val="14"/>
        </w:rPr>
        <w:t>.</w:t>
      </w:r>
    </w:p>
    <w:p w14:paraId="72621D43" w14:textId="4FE4166B" w:rsidR="00AE3E37" w:rsidRPr="0013106D" w:rsidRDefault="00A9710C" w:rsidP="0013106D">
      <w:pPr>
        <w:spacing w:before="62"/>
        <w:ind w:left="4217" w:right="4235"/>
        <w:jc w:val="center"/>
        <w:rPr>
          <w:rFonts w:ascii="Arial"/>
          <w:sz w:val="14"/>
        </w:rPr>
        <w:sectPr w:rsidR="00AE3E37" w:rsidRPr="0013106D">
          <w:type w:val="continuous"/>
          <w:pgSz w:w="11910" w:h="16840"/>
          <w:pgMar w:top="1740" w:right="600" w:bottom="840" w:left="620" w:header="720" w:footer="720" w:gutter="0"/>
          <w:cols w:space="720"/>
        </w:sectPr>
      </w:pPr>
      <w:r>
        <w:rPr>
          <w:rFonts w:ascii="Arial"/>
          <w:sz w:val="14"/>
        </w:rPr>
        <w:t xml:space="preserve">Email: </w:t>
      </w:r>
      <w:r w:rsidR="00EC7704" w:rsidRPr="0013106D">
        <w:rPr>
          <w:rFonts w:ascii="Arial"/>
          <w:color w:val="004080"/>
          <w:sz w:val="14"/>
        </w:rPr>
        <w:t>rohit.dugar@amway.c</w:t>
      </w:r>
      <w:r w:rsidR="00815B72">
        <w:rPr>
          <w:noProof/>
        </w:rPr>
        <mc:AlternateContent>
          <mc:Choice Requires="wps">
            <w:drawing>
              <wp:anchor distT="0" distB="0" distL="0" distR="0" simplePos="0" relativeHeight="1072" behindDoc="0" locked="0" layoutInCell="1" allowOverlap="1" wp14:anchorId="5A1FB304" wp14:editId="0D23902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9F87F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sidR="0013106D">
        <w:rPr>
          <w:rFonts w:ascii="Arial"/>
          <w:color w:val="004080"/>
          <w:sz w:val="14"/>
        </w:rPr>
        <w:t>om</w:t>
      </w:r>
    </w:p>
    <w:p w14:paraId="39098801" w14:textId="548B1BED" w:rsidR="00815B72" w:rsidRDefault="00815B72" w:rsidP="0013106D">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A1911E" w14:textId="77777777" w:rsidR="00DD353E" w:rsidRDefault="00DD353E">
      <w:r>
        <w:separator/>
      </w:r>
    </w:p>
  </w:endnote>
  <w:endnote w:type="continuationSeparator" w:id="0">
    <w:p w14:paraId="26F7981B" w14:textId="77777777" w:rsidR="00DD353E" w:rsidRDefault="00DD3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A21D6" w14:textId="3CFC860E" w:rsidR="00AE3E37" w:rsidRDefault="00815B72">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71CA334E" wp14:editId="71935A4F">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417C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5FDE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A334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309417C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5FDE9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5EBB28" w14:textId="77777777" w:rsidR="00DD353E" w:rsidRDefault="00DD353E">
      <w:r>
        <w:separator/>
      </w:r>
    </w:p>
  </w:footnote>
  <w:footnote w:type="continuationSeparator" w:id="0">
    <w:p w14:paraId="6245B245" w14:textId="77777777" w:rsidR="00DD353E" w:rsidRDefault="00DD35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BCE1E" w14:textId="76D27133" w:rsidR="00AE3E37" w:rsidRDefault="00815B72">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7E227386" wp14:editId="024DAD76">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784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062F5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227386"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758784F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B062F5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4255"/>
    <w:rsid w:val="001263DF"/>
    <w:rsid w:val="0013106D"/>
    <w:rsid w:val="001F0F2B"/>
    <w:rsid w:val="00404E5B"/>
    <w:rsid w:val="00414F7B"/>
    <w:rsid w:val="004355DC"/>
    <w:rsid w:val="004749B4"/>
    <w:rsid w:val="004F3523"/>
    <w:rsid w:val="005B3A56"/>
    <w:rsid w:val="006060CE"/>
    <w:rsid w:val="0063497F"/>
    <w:rsid w:val="00815B72"/>
    <w:rsid w:val="00873DF0"/>
    <w:rsid w:val="009B2D44"/>
    <w:rsid w:val="00A9710C"/>
    <w:rsid w:val="00AE3E37"/>
    <w:rsid w:val="00B21A57"/>
    <w:rsid w:val="00C33602"/>
    <w:rsid w:val="00CD6F55"/>
    <w:rsid w:val="00DB5D4D"/>
    <w:rsid w:val="00DD353E"/>
    <w:rsid w:val="00EC77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DBDB38D"/>
  <w15:docId w15:val="{CA50C2E6-5A2A-4ED4-A4B8-ADB59B2D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EC7704"/>
    <w:rPr>
      <w:color w:val="0000FF" w:themeColor="hyperlink"/>
      <w:u w:val="single"/>
    </w:rPr>
  </w:style>
  <w:style w:type="character" w:styleId="UnresolvedMention">
    <w:name w:val="Unresolved Mention"/>
    <w:basedOn w:val="DefaultParagraphFont"/>
    <w:uiPriority w:val="99"/>
    <w:semiHidden/>
    <w:unhideWhenUsed/>
    <w:rsid w:val="00EC770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4149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Rohit Dugar</cp:lastModifiedBy>
  <cp:revision>2</cp:revision>
  <dcterms:created xsi:type="dcterms:W3CDTF">2018-02-02T01:05:00Z</dcterms:created>
  <dcterms:modified xsi:type="dcterms:W3CDTF">2018-02-02T01:05:00Z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