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pBdr>
          <w:left w:val="single" w:sz="4" w:space="4" w:color="auto"/>
          <w:right w:val="single" w:sz="4" w:space="4" w:color="auto"/>
          <w:top w:val="single" w:sz="4" w:space="1" w:color="auto"/>
          <w:bottom w:val="single" w:sz="4" w:space="1" w:color="auto"/>
        </w:pBdr>
        <w:jc w:val="center"/>
        <w:rPr>
          <w:rFonts w:ascii="Times New Roman" w:cs="Times New Roman" w:hAnsi="Times New Roman"/>
          <w:b/>
          <w:color w:val="0070c0"/>
          <w:sz w:val="56"/>
          <w:szCs w:val="56"/>
        </w:rPr>
      </w:pPr>
      <w:r>
        <w:rPr>
          <w:rFonts w:ascii="Times New Roman" w:cs="Times New Roman" w:hAnsi="Times New Roman"/>
          <w:b/>
          <w:color w:val="0070c0"/>
          <w:sz w:val="56"/>
          <w:szCs w:val="56"/>
        </w:rPr>
        <w:t>Ame</w:t>
      </w:r>
      <w:r>
        <w:rPr>
          <w:rFonts w:ascii="Times New Roman" w:cs="Times New Roman" w:hAnsi="Times New Roman"/>
          <w:b/>
          <w:color w:val="0070c0"/>
          <w:sz w:val="56"/>
          <w:szCs w:val="56"/>
        </w:rPr>
        <w:t>loblastoma: A Rare Case Report I</w:t>
      </w:r>
      <w:r>
        <w:rPr>
          <w:rFonts w:ascii="Times New Roman" w:cs="Times New Roman" w:hAnsi="Times New Roman"/>
          <w:b/>
          <w:color w:val="0070c0"/>
          <w:sz w:val="56"/>
          <w:szCs w:val="56"/>
        </w:rPr>
        <w:t>n Female Child</w:t>
      </w:r>
    </w:p>
    <w:p>
      <w:pPr>
        <w:pStyle w:val="style0"/>
        <w:pBdr>
          <w:left w:val="single" w:sz="4" w:space="4" w:color="auto"/>
          <w:right w:val="single" w:sz="4" w:space="4" w:color="auto"/>
          <w:top w:val="single" w:sz="4" w:space="1" w:color="auto"/>
          <w:bottom w:val="single" w:sz="4" w:space="1" w:color="auto"/>
        </w:pBdr>
        <w:spacing w:after="0"/>
        <w:jc w:val="center"/>
        <w:rPr>
          <w:rFonts w:ascii="Times New Roman" w:cs="Times New Roman" w:hAnsi="Times New Roman"/>
          <w:color w:val="e36c0a"/>
          <w:sz w:val="56"/>
          <w:szCs w:val="28"/>
          <w:vertAlign w:val="superscript"/>
          <w:lang w:val="en-IN" w:eastAsia="en-IN"/>
        </w:rPr>
      </w:pPr>
      <w:r>
        <w:rPr>
          <w:rFonts w:ascii="Times New Roman" w:cs="Times New Roman" w:hAnsi="Times New Roman"/>
          <w:color w:val="e36c0a"/>
          <w:sz w:val="56"/>
          <w:szCs w:val="28"/>
          <w:lang w:val="en-IN" w:eastAsia="en-IN"/>
        </w:rPr>
        <w:t>Ajit Singh</w:t>
      </w:r>
      <w:r>
        <w:rPr>
          <w:rFonts w:ascii="Times New Roman" w:cs="Times New Roman" w:hAnsi="Times New Roman"/>
          <w:color w:val="e36c0a"/>
          <w:sz w:val="56"/>
          <w:szCs w:val="28"/>
          <w:vertAlign w:val="superscript"/>
          <w:lang w:val="en-IN" w:eastAsia="en-IN"/>
        </w:rPr>
        <w:t>1</w:t>
      </w:r>
      <w:r>
        <w:rPr>
          <w:rFonts w:ascii="Times New Roman" w:cs="Times New Roman" w:hAnsi="Times New Roman"/>
          <w:color w:val="e36c0a"/>
          <w:sz w:val="56"/>
          <w:szCs w:val="28"/>
          <w:lang w:val="en-IN" w:eastAsia="en-IN"/>
        </w:rPr>
        <w:t>, Ruby Rao</w:t>
      </w:r>
      <w:r>
        <w:rPr>
          <w:rFonts w:ascii="Times New Roman" w:cs="Times New Roman" w:hAnsi="Times New Roman"/>
          <w:color w:val="e36c0a"/>
          <w:sz w:val="56"/>
          <w:szCs w:val="28"/>
          <w:vertAlign w:val="superscript"/>
          <w:lang w:val="en-IN" w:eastAsia="en-IN"/>
        </w:rPr>
        <w:t>2</w:t>
      </w:r>
      <w:r>
        <w:rPr>
          <w:rFonts w:ascii="Times New Roman" w:cs="Times New Roman" w:hAnsi="Times New Roman"/>
          <w:color w:val="e36c0a"/>
          <w:sz w:val="56"/>
          <w:szCs w:val="28"/>
          <w:lang w:val="en-IN" w:eastAsia="en-IN"/>
        </w:rPr>
        <w:t>, Shivani kalhan</w:t>
      </w:r>
      <w:r>
        <w:rPr>
          <w:rFonts w:ascii="Times New Roman" w:cs="Times New Roman" w:hAnsi="Times New Roman"/>
          <w:color w:val="e36c0a"/>
          <w:sz w:val="56"/>
          <w:szCs w:val="28"/>
          <w:vertAlign w:val="superscript"/>
          <w:lang w:val="en-IN" w:eastAsia="en-IN"/>
        </w:rPr>
        <w:t>3</w:t>
      </w:r>
      <w:r>
        <w:rPr>
          <w:rFonts w:ascii="Times New Roman" w:cs="Times New Roman" w:hAnsi="Times New Roman"/>
          <w:color w:val="e36c0a"/>
          <w:sz w:val="56"/>
          <w:szCs w:val="28"/>
          <w:lang w:val="en-IN" w:eastAsia="en-IN"/>
        </w:rPr>
        <w:t>, Pawan Singh</w:t>
      </w:r>
      <w:r>
        <w:rPr>
          <w:rFonts w:ascii="Times New Roman" w:cs="Times New Roman" w:hAnsi="Times New Roman"/>
          <w:color w:val="e36c0a"/>
          <w:sz w:val="56"/>
          <w:szCs w:val="28"/>
          <w:vertAlign w:val="superscript"/>
          <w:lang w:val="en-IN" w:eastAsia="en-IN"/>
        </w:rPr>
        <w:t>4</w:t>
      </w:r>
      <w:r>
        <w:rPr>
          <w:rFonts w:ascii="Times New Roman" w:cs="Times New Roman" w:hAnsi="Times New Roman"/>
          <w:color w:val="e36c0a"/>
          <w:sz w:val="56"/>
          <w:szCs w:val="28"/>
          <w:lang w:val="en-IN" w:eastAsia="en-IN"/>
        </w:rPr>
        <w:t>, Shilpa Garg</w:t>
      </w:r>
      <w:r>
        <w:rPr>
          <w:rFonts w:ascii="Times New Roman" w:cs="Times New Roman" w:hAnsi="Times New Roman"/>
          <w:color w:val="e36c0a"/>
          <w:sz w:val="56"/>
          <w:szCs w:val="28"/>
          <w:vertAlign w:val="superscript"/>
          <w:lang w:val="en-IN" w:eastAsia="en-IN"/>
        </w:rPr>
        <w:t>5</w:t>
      </w:r>
    </w:p>
    <w:p>
      <w:pPr>
        <w:pStyle w:val="style0"/>
        <w:pBdr>
          <w:left w:val="single" w:sz="4" w:space="4" w:color="auto"/>
          <w:right w:val="single" w:sz="4" w:space="4" w:color="auto"/>
          <w:top w:val="single" w:sz="4" w:space="1" w:color="auto"/>
          <w:bottom w:val="single" w:sz="4" w:space="1" w:color="auto"/>
        </w:pBdr>
        <w:spacing w:after="0"/>
        <w:jc w:val="center"/>
        <w:rPr>
          <w:rFonts w:ascii="Times New Roman" w:cs="Times New Roman" w:hAnsi="Times New Roman"/>
          <w:color w:val="e36c0a"/>
          <w:sz w:val="56"/>
          <w:szCs w:val="56"/>
          <w:lang w:val="en-IN" w:eastAsia="en-IN"/>
        </w:rPr>
      </w:pPr>
      <w:r>
        <w:rPr>
          <w:rFonts w:ascii="Times New Roman" w:cs="Times New Roman" w:hAnsi="Times New Roman"/>
          <w:color w:val="e36c0a"/>
          <w:sz w:val="56"/>
          <w:szCs w:val="56"/>
          <w:vertAlign w:val="superscript"/>
          <w:lang w:val="en-IN" w:eastAsia="en-IN"/>
        </w:rPr>
        <w:t>1,2</w:t>
      </w:r>
      <w:r>
        <w:rPr>
          <w:rFonts w:ascii="Times New Roman" w:cs="Times New Roman" w:hAnsi="Times New Roman"/>
          <w:color w:val="e36c0a"/>
          <w:sz w:val="56"/>
          <w:szCs w:val="56"/>
          <w:lang w:val="en-IN" w:eastAsia="en-IN"/>
        </w:rPr>
        <w:t xml:space="preserve">Demonstrator, </w:t>
      </w:r>
      <w:r>
        <w:rPr>
          <w:rFonts w:ascii="Times New Roman" w:cs="Times New Roman" w:hAnsi="Times New Roman"/>
          <w:color w:val="e36c0a"/>
          <w:sz w:val="56"/>
          <w:szCs w:val="56"/>
          <w:vertAlign w:val="superscript"/>
          <w:lang w:val="en-IN" w:eastAsia="en-IN"/>
        </w:rPr>
        <w:t>3</w:t>
      </w:r>
      <w:r>
        <w:rPr>
          <w:rFonts w:ascii="Times New Roman" w:cs="Times New Roman" w:hAnsi="Times New Roman"/>
          <w:color w:val="e36c0a"/>
          <w:sz w:val="56"/>
          <w:szCs w:val="56"/>
          <w:lang w:val="en-IN" w:eastAsia="en-IN"/>
        </w:rPr>
        <w:t xml:space="preserve">Professor and Head, </w:t>
      </w:r>
      <w:r>
        <w:rPr>
          <w:rFonts w:ascii="Times New Roman" w:cs="Times New Roman" w:hAnsi="Times New Roman"/>
          <w:color w:val="e36c0a"/>
          <w:sz w:val="56"/>
          <w:szCs w:val="56"/>
          <w:vertAlign w:val="superscript"/>
          <w:lang w:val="en-IN" w:eastAsia="en-IN"/>
        </w:rPr>
        <w:t>4</w:t>
      </w:r>
      <w:r>
        <w:rPr>
          <w:rFonts w:ascii="Times New Roman" w:cs="Times New Roman" w:hAnsi="Times New Roman"/>
          <w:color w:val="e36c0a"/>
          <w:sz w:val="56"/>
          <w:szCs w:val="56"/>
          <w:lang w:val="en-IN" w:eastAsia="en-IN"/>
        </w:rPr>
        <w:t xml:space="preserve">Associate Professor, </w:t>
      </w:r>
      <w:r>
        <w:rPr>
          <w:rFonts w:ascii="Times New Roman" w:cs="Times New Roman" w:hAnsi="Times New Roman"/>
          <w:color w:val="e36c0a"/>
          <w:sz w:val="56"/>
          <w:szCs w:val="56"/>
          <w:vertAlign w:val="superscript"/>
          <w:lang w:val="en-IN" w:eastAsia="en-IN"/>
        </w:rPr>
        <w:t>5</w:t>
      </w:r>
      <w:r>
        <w:rPr>
          <w:rFonts w:ascii="Times New Roman" w:cs="Times New Roman" w:hAnsi="Times New Roman"/>
          <w:color w:val="e36c0a"/>
          <w:sz w:val="56"/>
          <w:szCs w:val="56"/>
          <w:lang w:val="en-IN" w:eastAsia="en-IN"/>
        </w:rPr>
        <w:t>Assistant Professor</w:t>
      </w:r>
    </w:p>
    <w:p>
      <w:pPr>
        <w:pStyle w:val="style0"/>
        <w:pBdr>
          <w:left w:val="single" w:sz="4" w:space="4" w:color="auto"/>
          <w:right w:val="single" w:sz="4" w:space="4" w:color="auto"/>
          <w:top w:val="single" w:sz="4" w:space="1" w:color="auto"/>
          <w:bottom w:val="single" w:sz="4" w:space="1" w:color="auto"/>
        </w:pBdr>
        <w:spacing w:after="0" w:lineRule="auto" w:line="240"/>
        <w:jc w:val="center"/>
        <w:rPr>
          <w:rFonts w:ascii="Times New Roman" w:cs="Times New Roman" w:hAnsi="Times New Roman"/>
          <w:i/>
          <w:color w:val="e36c0a"/>
          <w:sz w:val="56"/>
          <w:szCs w:val="28"/>
          <w:lang w:val="en-IN" w:eastAsia="en-IN"/>
        </w:rPr>
      </w:pPr>
      <w:r>
        <w:rPr>
          <w:rFonts w:ascii="Times New Roman" w:cs="Times New Roman" w:hAnsi="Times New Roman"/>
          <w:i/>
          <w:color w:val="e36c0a"/>
          <w:sz w:val="56"/>
          <w:szCs w:val="28"/>
          <w:lang w:val="en-IN" w:eastAsia="en-IN"/>
        </w:rPr>
        <w:t>SHKM Govt. Medical College Nalhar Haryana</w:t>
      </w:r>
    </w:p>
    <w:p>
      <w:pPr>
        <w:pStyle w:val="style0"/>
        <w:spacing w:after="0" w:lineRule="auto" w:line="240"/>
        <w:rPr>
          <w:rFonts w:ascii="Times New Roman" w:cs="Times New Roman" w:hAnsi="Times New Roman"/>
          <w:i/>
          <w:color w:val="e36c0a"/>
          <w:sz w:val="56"/>
          <w:szCs w:val="28"/>
          <w:lang w:val="en-IN" w:eastAsia="en-IN"/>
        </w:rPr>
      </w:pP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rPr/>
        <w:sectPr>
          <w:pgSz w:w="27363" w:h="17282" w:orient="landscape" w:code="164"/>
          <w:pgMar w:top="720" w:right="720" w:bottom="720" w:left="720" w:header="720" w:footer="720" w:gutter="0"/>
          <w:cols w:space="720"/>
          <w:docGrid w:linePitch="360"/>
        </w:sectPr>
      </w:pP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spacing w:after="0" w:lineRule="auto" w:line="240"/>
        <w:jc w:val="center"/>
        <w:rPr>
          <w:rFonts w:ascii="Times New Roman" w:cs="Times New Roman" w:hAnsi="Times New Roman"/>
          <w:b/>
          <w:color w:val="ff0000"/>
          <w:sz w:val="36"/>
          <w:szCs w:val="26"/>
          <w:lang w:val="en-IN" w:eastAsia="en-IN"/>
        </w:rPr>
      </w:pPr>
      <w:r>
        <w:rPr>
          <w:rFonts w:ascii="Times New Roman" w:cs="Times New Roman" w:hAnsi="Times New Roman"/>
          <w:b/>
          <w:color w:val="ff0000"/>
          <w:sz w:val="36"/>
          <w:szCs w:val="26"/>
          <w:lang w:val="en-IN" w:eastAsia="en-IN"/>
        </w:rPr>
        <w:t>Introduction</w:t>
      </w: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spacing w:after="0" w:lineRule="auto" w:line="240"/>
        <w:jc w:val="both"/>
        <w:rPr>
          <w:rFonts w:ascii="Times New Roman" w:cs="Times New Roman" w:hAnsi="Times New Roman"/>
          <w:sz w:val="24"/>
          <w:szCs w:val="24"/>
        </w:rPr>
      </w:pPr>
      <w:r>
        <w:rPr>
          <w:rFonts w:ascii="Times New Roman" w:cs="Times New Roman" w:hAnsi="Times New Roman"/>
          <w:sz w:val="24"/>
          <w:szCs w:val="24"/>
        </w:rPr>
        <w:t>Ameloblastoma</w:t>
      </w:r>
      <w:r>
        <w:rPr>
          <w:rFonts w:ascii="Times New Roman" w:cs="Times New Roman" w:hAnsi="Times New Roman"/>
          <w:sz w:val="24"/>
          <w:szCs w:val="24"/>
        </w:rPr>
        <w:t xml:space="preserve"> is the most common benign odontogenic tumors of the jaws that constitutes about 1% of all cysts and tumors of the jaws.</w:t>
      </w:r>
      <w:r>
        <w:rPr>
          <w:rFonts w:ascii="Times New Roman" w:cs="Times New Roman" w:hAnsi="Times New Roman"/>
          <w:sz w:val="24"/>
          <w:szCs w:val="24"/>
        </w:rPr>
        <w:t>1</w:t>
      </w:r>
      <w:r>
        <w:rPr>
          <w:rFonts w:ascii="Times New Roman" w:cs="Times New Roman" w:hAnsi="Times New Roman"/>
          <w:sz w:val="24"/>
          <w:szCs w:val="24"/>
        </w:rPr>
        <w:t>It is generally a painless, slow growing, locally aggressive tumor causing expansion o</w:t>
      </w:r>
      <w:r>
        <w:rPr>
          <w:rFonts w:ascii="Times New Roman" w:cs="Times New Roman" w:hAnsi="Times New Roman"/>
          <w:sz w:val="24"/>
          <w:szCs w:val="24"/>
        </w:rPr>
        <w:t>f the cortical bone, perforation of the lingual or the buccal cortical plate and infiltration of the soft tissues. It has peak incidence in third and fourth decade of life but rare in children age group with equal gender predilection (1:1).</w:t>
      </w:r>
      <w:r>
        <w:rPr>
          <w:rFonts w:ascii="Times New Roman" w:cs="Times New Roman" w:hAnsi="Times New Roman"/>
          <w:sz w:val="24"/>
          <w:szCs w:val="24"/>
        </w:rPr>
        <w:t>2</w:t>
      </w:r>
      <w:r>
        <w:rPr>
          <w:rFonts w:ascii="Times New Roman" w:cs="Times New Roman" w:hAnsi="Times New Roman"/>
          <w:sz w:val="24"/>
          <w:szCs w:val="24"/>
        </w:rPr>
        <w:t>The relative fr</w:t>
      </w:r>
      <w:r>
        <w:rPr>
          <w:rFonts w:ascii="Times New Roman" w:cs="Times New Roman" w:hAnsi="Times New Roman"/>
          <w:sz w:val="24"/>
          <w:szCs w:val="24"/>
        </w:rPr>
        <w:t>equency of mandible to maxilla is reported to be varying from 80–20% to 99–1%. In the mandible majority of Ameloblastomasare found in the molar ramus region.</w:t>
      </w:r>
      <w:r>
        <w:rPr>
          <w:rFonts w:ascii="Times New Roman" w:cs="Times New Roman" w:hAnsi="Times New Roman"/>
          <w:sz w:val="24"/>
          <w:szCs w:val="24"/>
          <w:vertAlign w:val="superscript"/>
        </w:rPr>
        <w:t>3</w:t>
      </w:r>
    </w:p>
    <w:p>
      <w:pPr>
        <w:pStyle w:val="style0"/>
        <w:spacing w:after="0" w:lineRule="auto" w:line="240"/>
        <w:jc w:val="center"/>
        <w:rPr>
          <w:rFonts w:ascii="Times New Roman" w:cs="Times New Roman" w:hAnsi="Times New Roman"/>
          <w:b/>
          <w:bCs/>
          <w:color w:val="ff0000"/>
          <w:sz w:val="36"/>
          <w:szCs w:val="26"/>
          <w:lang w:val="en-IN" w:eastAsia="en-IN"/>
        </w:rPr>
      </w:pP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spacing w:after="0" w:lineRule="auto" w:line="240"/>
        <w:jc w:val="center"/>
        <w:rPr>
          <w:rFonts w:ascii="Times New Roman" w:cs="Times New Roman" w:hAnsi="Times New Roman"/>
          <w:b/>
          <w:bCs/>
          <w:color w:val="ff0000"/>
          <w:sz w:val="36"/>
          <w:szCs w:val="26"/>
          <w:lang w:val="en-IN" w:eastAsia="en-IN"/>
        </w:rPr>
      </w:pPr>
      <w:r>
        <w:rPr>
          <w:rFonts w:ascii="Times New Roman" w:cs="Times New Roman" w:hAnsi="Times New Roman"/>
          <w:b/>
          <w:bCs/>
          <w:color w:val="ff0000"/>
          <w:sz w:val="36"/>
          <w:szCs w:val="26"/>
          <w:lang w:val="en-IN" w:eastAsia="en-IN"/>
        </w:rPr>
        <w:t>Case summary</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spacing w:after="240"/>
        <w:jc w:val="both"/>
        <w:rPr>
          <w:b/>
          <w:color w:val="auto"/>
        </w:rPr>
      </w:pPr>
      <w:r>
        <w:rPr>
          <w:color w:val="auto"/>
        </w:rPr>
        <w:t>A 14-year-old female child reported with a swelling on the left side of the face sin</w:t>
      </w:r>
      <w:r>
        <w:rPr>
          <w:color w:val="auto"/>
        </w:rPr>
        <w:t>ce 1year</w:t>
      </w:r>
      <w:r>
        <w:rPr>
          <w:color w:val="auto"/>
        </w:rPr>
        <w:t>and</w:t>
      </w:r>
      <w:r>
        <w:rPr>
          <w:color w:val="auto"/>
        </w:rPr>
        <w:t xml:space="preserve"> pain while chewing food since 4 months. The swelling was insidious in onset and gradually increased to the present size. There was no historyof trauma or toothache or decrease in the size of the swelling or any discharge from the swelling. The</w:t>
      </w:r>
      <w:r>
        <w:rPr>
          <w:color w:val="auto"/>
        </w:rPr>
        <w:t xml:space="preserve">patient was experiencing pain while chewing hardfood. The patient also had altered sensation over the left cheek region. </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jc w:val="both"/>
        <w:rPr>
          <w:color w:val="auto"/>
        </w:rPr>
      </w:pPr>
      <w:r>
        <w:rPr>
          <w:b/>
          <w:color w:val="auto"/>
        </w:rPr>
        <w:t>Haematological</w:t>
      </w:r>
      <w:r>
        <w:rPr>
          <w:b/>
          <w:color w:val="auto"/>
        </w:rPr>
        <w:t xml:space="preserve"> </w:t>
      </w:r>
      <w:r>
        <w:rPr>
          <w:b/>
          <w:bCs/>
          <w:color w:val="auto"/>
        </w:rPr>
        <w:t>I</w:t>
      </w:r>
      <w:r>
        <w:rPr>
          <w:b/>
          <w:bCs/>
          <w:color w:val="auto"/>
        </w:rPr>
        <w:t>nvestigation</w:t>
      </w:r>
      <w:r>
        <w:rPr>
          <w:b/>
          <w:bCs/>
          <w:color w:val="auto"/>
        </w:rPr>
        <w:t>:-</w:t>
      </w:r>
      <w:r>
        <w:rPr>
          <w:color w:val="auto"/>
        </w:rPr>
        <w:t xml:space="preserve"> N</w:t>
      </w:r>
      <w:r>
        <w:rPr>
          <w:color w:val="auto"/>
        </w:rPr>
        <w:t>ormal.</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jc w:val="both"/>
        <w:rPr>
          <w:color w:val="auto"/>
        </w:rPr>
      </w:pPr>
      <w:r>
        <w:rPr>
          <w:b/>
          <w:bCs/>
          <w:color w:val="auto"/>
        </w:rPr>
        <w:t xml:space="preserve">Radiological </w:t>
      </w:r>
      <w:r>
        <w:rPr>
          <w:b/>
          <w:bCs/>
          <w:color w:val="auto"/>
        </w:rPr>
        <w:t>I</w:t>
      </w:r>
      <w:r>
        <w:rPr>
          <w:b/>
          <w:bCs/>
          <w:color w:val="auto"/>
        </w:rPr>
        <w:t>nvestigation</w:t>
      </w:r>
      <w:r>
        <w:rPr>
          <w:color w:val="auto"/>
        </w:rPr>
        <w:t xml:space="preserve">:-A large well-defined radiolucent </w:t>
      </w:r>
      <w:r>
        <w:rPr>
          <w:color w:val="auto"/>
        </w:rPr>
        <w:t>expansile</w:t>
      </w:r>
      <w:r>
        <w:rPr>
          <w:color w:val="auto"/>
        </w:rPr>
        <w:t xml:space="preserve"> lesion i</w:t>
      </w:r>
      <w:r>
        <w:rPr>
          <w:color w:val="auto"/>
        </w:rPr>
        <w:t>n</w:t>
      </w:r>
      <w:r>
        <w:rPr>
          <w:color w:val="auto"/>
        </w:rPr>
        <w:t xml:space="preserve"> </w:t>
      </w:r>
      <w:r>
        <w:rPr>
          <w:color w:val="auto"/>
        </w:rPr>
        <w:t>the left body and ramus of the mandible with</w:t>
      </w:r>
      <w:r>
        <w:rPr>
          <w:color w:val="auto"/>
        </w:rPr>
        <w:t xml:space="preserve"> </w:t>
      </w:r>
      <w:r>
        <w:rPr>
          <w:color w:val="auto"/>
        </w:rPr>
        <w:t>multilocular</w:t>
      </w:r>
      <w:r>
        <w:rPr>
          <w:color w:val="auto"/>
        </w:rPr>
        <w:t xml:space="preserve"> </w:t>
      </w:r>
      <w:r>
        <w:rPr>
          <w:color w:val="auto"/>
        </w:rPr>
        <w:t>appearance causing</w:t>
      </w:r>
      <w:r>
        <w:rPr>
          <w:color w:val="auto"/>
        </w:rPr>
        <w:t xml:space="preserve"> expansion of ramus of mandible.</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spacing w:after="240"/>
        <w:jc w:val="both"/>
        <w:rPr>
          <w:b/>
          <w:bCs/>
          <w:color w:val="auto"/>
          <w:u w:val="single"/>
        </w:rPr>
      </w:pPr>
      <w:r>
        <w:rPr>
          <w:b/>
          <w:color w:val="auto"/>
        </w:rPr>
        <w:t>Clinical Diagnosis:-</w:t>
      </w:r>
      <w:r>
        <w:rPr>
          <w:color w:val="auto"/>
        </w:rPr>
        <w:t>?</w:t>
      </w:r>
      <w:r>
        <w:rPr>
          <w:color w:val="auto"/>
        </w:rPr>
        <w:t>Malignancy</w:t>
      </w:r>
      <w:r>
        <w:rPr>
          <w:color w:val="auto"/>
        </w:rPr>
        <w:t xml:space="preserve"> ?cystic lesion was made and surgery was performed </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jc w:val="both"/>
        <w:rPr>
          <w:b/>
          <w:bCs/>
          <w:color w:val="auto"/>
          <w:u w:val="single"/>
        </w:rPr>
      </w:pPr>
      <w:r>
        <w:rPr>
          <w:b/>
          <w:bCs/>
          <w:color w:val="auto"/>
          <w:u w:val="single"/>
        </w:rPr>
        <w:t>Histopathological</w:t>
      </w:r>
      <w:r>
        <w:rPr>
          <w:b/>
          <w:bCs/>
          <w:color w:val="auto"/>
          <w:u w:val="single"/>
        </w:rPr>
        <w:t xml:space="preserve"> Examination</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jc w:val="both"/>
        <w:rPr>
          <w:color w:val="auto"/>
        </w:rPr>
      </w:pPr>
      <w:r>
        <w:rPr>
          <w:b/>
          <w:bCs/>
          <w:color w:val="auto"/>
        </w:rPr>
        <w:t>Gross  E</w:t>
      </w:r>
      <w:r>
        <w:rPr>
          <w:b/>
          <w:bCs/>
          <w:color w:val="auto"/>
        </w:rPr>
        <w:t>xamination</w:t>
      </w:r>
      <w:r>
        <w:rPr>
          <w:color w:val="auto"/>
        </w:rPr>
        <w:t>:-In departmen</w:t>
      </w:r>
      <w:r>
        <w:rPr>
          <w:color w:val="auto"/>
        </w:rPr>
        <w:t xml:space="preserve">t  of  </w:t>
      </w:r>
      <w:r>
        <w:rPr>
          <w:color w:val="auto"/>
        </w:rPr>
        <w:t>P</w:t>
      </w:r>
      <w:r>
        <w:rPr>
          <w:color w:val="auto"/>
        </w:rPr>
        <w:t xml:space="preserve">athology, received </w:t>
      </w:r>
      <w:r>
        <w:rPr>
          <w:color w:val="auto"/>
        </w:rPr>
        <w:t>multiple biopsies from lingual side mucosa,buccal mucosa,bony cavity tissue and tooth bud for histopathological examination.</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spacing w:after="240"/>
        <w:jc w:val="both"/>
        <w:rPr>
          <w:color w:val="auto"/>
        </w:rPr>
      </w:pPr>
      <w:r>
        <w:rPr>
          <w:b/>
          <w:bCs/>
          <w:color w:val="auto"/>
        </w:rPr>
        <w:t>Microscopic</w:t>
      </w:r>
      <w:r>
        <w:rPr>
          <w:b/>
          <w:bCs/>
          <w:color w:val="auto"/>
        </w:rPr>
        <w:t xml:space="preserve"> </w:t>
      </w:r>
      <w:r>
        <w:rPr>
          <w:b/>
          <w:bCs/>
          <w:color w:val="auto"/>
        </w:rPr>
        <w:t>E</w:t>
      </w:r>
      <w:r>
        <w:rPr>
          <w:b/>
          <w:bCs/>
          <w:color w:val="auto"/>
        </w:rPr>
        <w:t xml:space="preserve">xamination </w:t>
      </w:r>
      <w:r>
        <w:rPr>
          <w:b/>
          <w:bCs/>
          <w:color w:val="auto"/>
        </w:rPr>
        <w:t>:</w:t>
      </w:r>
      <w:r>
        <w:rPr>
          <w:b/>
          <w:bCs/>
          <w:color w:val="auto"/>
        </w:rPr>
        <w:t>-</w:t>
      </w:r>
      <w:r>
        <w:rPr>
          <w:color w:val="auto"/>
        </w:rPr>
        <w:t xml:space="preserve">The </w:t>
      </w:r>
      <w:r>
        <w:rPr>
          <w:color w:val="auto"/>
        </w:rPr>
        <w:t>histopathological</w:t>
      </w:r>
      <w:r>
        <w:rPr>
          <w:color w:val="auto"/>
        </w:rPr>
        <w:t xml:space="preserve"> examination of the biopsy</w:t>
      </w:r>
      <w:r>
        <w:rPr>
          <w:color w:val="auto"/>
        </w:rPr>
        <w:t xml:space="preserve"> </w:t>
      </w:r>
      <w:r>
        <w:rPr>
          <w:color w:val="auto"/>
        </w:rPr>
        <w:t>specimen revealed the presence o</w:t>
      </w:r>
      <w:r>
        <w:rPr>
          <w:color w:val="auto"/>
        </w:rPr>
        <w:t>f</w:t>
      </w:r>
      <w:r>
        <w:rPr>
          <w:color w:val="auto"/>
        </w:rPr>
        <w:t xml:space="preserve"> </w:t>
      </w:r>
      <w:r>
        <w:rPr>
          <w:color w:val="auto"/>
        </w:rPr>
        <w:t>stratified</w:t>
      </w:r>
      <w:r>
        <w:rPr>
          <w:color w:val="auto"/>
        </w:rPr>
        <w:t xml:space="preserve"> </w:t>
      </w:r>
      <w:r>
        <w:rPr>
          <w:color w:val="auto"/>
        </w:rPr>
        <w:t>squamous</w:t>
      </w:r>
      <w:r>
        <w:rPr>
          <w:color w:val="auto"/>
        </w:rPr>
        <w:t xml:space="preserve"> epithelium over foll</w:t>
      </w:r>
      <w:r>
        <w:t xml:space="preserve">icles that consist of a core of </w:t>
      </w:r>
      <w:r>
        <w:rPr>
          <w:color w:val="auto"/>
        </w:rPr>
        <w:t>loosely arranged angular cells resembling</w:t>
      </w:r>
      <w:r>
        <w:rPr>
          <w:color w:val="auto"/>
        </w:rPr>
        <w:t xml:space="preserve"> </w:t>
      </w:r>
      <w:r>
        <w:rPr>
          <w:color w:val="auto"/>
        </w:rPr>
        <w:t>the</w:t>
      </w:r>
      <w:r>
        <w:rPr>
          <w:color w:val="auto"/>
        </w:rPr>
        <w:t xml:space="preserve"> </w:t>
      </w:r>
      <w:r>
        <w:rPr>
          <w:color w:val="auto"/>
        </w:rPr>
        <w:t>stellate</w:t>
      </w:r>
      <w:r>
        <w:rPr>
          <w:color w:val="auto"/>
        </w:rPr>
        <w:t xml:space="preserve"> reticulum of an enamel organ. A single</w:t>
      </w:r>
      <w:r>
        <w:rPr>
          <w:color w:val="auto"/>
        </w:rPr>
        <w:t xml:space="preserve"> </w:t>
      </w:r>
      <w:r>
        <w:rPr>
          <w:color w:val="auto"/>
        </w:rPr>
        <w:t>layer</w:t>
      </w:r>
      <w:r>
        <w:rPr>
          <w:color w:val="auto"/>
        </w:rPr>
        <w:t xml:space="preserve"> of tall columnar </w:t>
      </w:r>
      <w:r>
        <w:rPr>
          <w:color w:val="auto"/>
        </w:rPr>
        <w:t>A</w:t>
      </w:r>
      <w:r>
        <w:rPr>
          <w:color w:val="auto"/>
        </w:rPr>
        <w:t>meloblast</w:t>
      </w:r>
      <w:r>
        <w:rPr>
          <w:color w:val="auto"/>
        </w:rPr>
        <w:t>-like cells had</w:t>
      </w:r>
      <w:r>
        <w:rPr>
          <w:color w:val="auto"/>
        </w:rPr>
        <w:t xml:space="preserve"> </w:t>
      </w:r>
      <w:r>
        <w:rPr>
          <w:color w:val="auto"/>
        </w:rPr>
        <w:t xml:space="preserve">been found surrounding the central core. The </w:t>
      </w:r>
      <w:r>
        <w:rPr>
          <w:color w:val="auto"/>
        </w:rPr>
        <w:t>plexiform</w:t>
      </w:r>
      <w:r>
        <w:rPr>
          <w:color w:val="auto"/>
        </w:rPr>
        <w:t xml:space="preserve"> </w:t>
      </w:r>
      <w:r>
        <w:rPr>
          <w:color w:val="auto"/>
        </w:rPr>
        <w:t>pattern consist</w:t>
      </w:r>
      <w:r>
        <w:rPr>
          <w:color w:val="auto"/>
        </w:rPr>
        <w:t xml:space="preserve"> of long </w:t>
      </w:r>
      <w:r>
        <w:rPr>
          <w:color w:val="auto"/>
        </w:rPr>
        <w:t>anastomosing</w:t>
      </w:r>
      <w:r>
        <w:rPr>
          <w:color w:val="auto"/>
        </w:rPr>
        <w:t xml:space="preserve"> </w:t>
      </w:r>
      <w:r>
        <w:rPr>
          <w:color w:val="auto"/>
        </w:rPr>
        <w:t>cord</w:t>
      </w:r>
      <w:r>
        <w:rPr>
          <w:color w:val="auto"/>
        </w:rPr>
        <w:t xml:space="preserve"> or large sheet of odontogenic epithelium covered by </w:t>
      </w:r>
      <w:r>
        <w:rPr>
          <w:color w:val="auto"/>
        </w:rPr>
        <w:t>ameloblastic</w:t>
      </w:r>
      <w:r>
        <w:rPr>
          <w:color w:val="auto"/>
        </w:rPr>
        <w:t xml:space="preserve"> </w:t>
      </w:r>
      <w:r>
        <w:rPr>
          <w:color w:val="auto"/>
        </w:rPr>
        <w:t xml:space="preserve">cells. The </w:t>
      </w:r>
      <w:r>
        <w:rPr>
          <w:color w:val="auto"/>
        </w:rPr>
        <w:t>subepithelium</w:t>
      </w:r>
      <w:r>
        <w:rPr>
          <w:color w:val="auto"/>
        </w:rPr>
        <w:t xml:space="preserve"> </w:t>
      </w:r>
      <w:r>
        <w:rPr>
          <w:color w:val="auto"/>
        </w:rPr>
        <w:t>tissue</w:t>
      </w:r>
      <w:r>
        <w:rPr>
          <w:color w:val="auto"/>
        </w:rPr>
        <w:t xml:space="preserve"> show chronic inflammatory cells. No other parts</w:t>
      </w:r>
      <w:r>
        <w:rPr>
          <w:color w:val="auto"/>
        </w:rPr>
        <w:t xml:space="preserve"> from </w:t>
      </w:r>
      <w:r>
        <w:rPr>
          <w:color w:val="auto"/>
        </w:rPr>
        <w:t>buccal</w:t>
      </w:r>
      <w:r>
        <w:rPr>
          <w:color w:val="auto"/>
        </w:rPr>
        <w:t xml:space="preserve"> mucosa, bony cavity </w:t>
      </w:r>
      <w:r>
        <w:rPr>
          <w:color w:val="auto"/>
        </w:rPr>
        <w:t>tissue and tooth bud show any f</w:t>
      </w:r>
      <w:r>
        <w:rPr>
          <w:color w:val="auto"/>
        </w:rPr>
        <w:t>eatures of malignancy.</w:t>
      </w: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autoSpaceDE w:val="false"/>
        <w:autoSpaceDN w:val="false"/>
        <w:adjustRightInd w:val="false"/>
        <w:spacing w:after="240" w:lineRule="auto" w:line="240"/>
        <w:jc w:val="both"/>
        <w:rPr>
          <w:rFonts w:ascii="Times New Roman" w:cs="Times New Roman" w:hAnsi="Times New Roman"/>
          <w:sz w:val="24"/>
          <w:szCs w:val="24"/>
        </w:rPr>
      </w:pPr>
      <w:r>
        <w:rPr>
          <w:rFonts w:ascii="Times New Roman" w:cs="Times New Roman" w:hAnsi="Times New Roman"/>
          <w:b/>
          <w:bCs/>
          <w:sz w:val="24"/>
          <w:szCs w:val="24"/>
        </w:rPr>
        <w:t>Diagnosis</w:t>
      </w:r>
      <w:r>
        <w:rPr>
          <w:rFonts w:ascii="Times New Roman" w:cs="Times New Roman" w:hAnsi="Times New Roman"/>
          <w:b/>
          <w:bCs/>
          <w:sz w:val="24"/>
          <w:szCs w:val="24"/>
        </w:rPr>
        <w:t>:-</w:t>
      </w:r>
      <w:r>
        <w:rPr>
          <w:rFonts w:ascii="Times New Roman" w:cs="Times New Roman" w:hAnsi="Times New Roman"/>
          <w:b/>
          <w:bCs/>
          <w:sz w:val="24"/>
          <w:szCs w:val="24"/>
        </w:rPr>
        <w:t xml:space="preserve"> </w:t>
      </w:r>
      <w:r>
        <w:rPr>
          <w:rFonts w:ascii="Times New Roman" w:cs="Times New Roman" w:hAnsi="Times New Roman"/>
          <w:sz w:val="24"/>
          <w:szCs w:val="24"/>
        </w:rPr>
        <w:t>Plexifo</w:t>
      </w:r>
      <w:r>
        <w:rPr>
          <w:rFonts w:ascii="Times New Roman" w:cs="Times New Roman" w:hAnsi="Times New Roman"/>
          <w:sz w:val="24"/>
          <w:szCs w:val="24"/>
        </w:rPr>
        <w:t>rm</w:t>
      </w:r>
      <w:r>
        <w:rPr>
          <w:rFonts w:ascii="Times New Roman" w:cs="Times New Roman" w:hAnsi="Times New Roman"/>
          <w:sz w:val="24"/>
          <w:szCs w:val="24"/>
        </w:rPr>
        <w:t xml:space="preserve"> pattern of </w:t>
      </w:r>
      <w:r>
        <w:rPr>
          <w:rFonts w:ascii="Times New Roman" w:cs="Times New Roman" w:hAnsi="Times New Roman"/>
          <w:sz w:val="24"/>
          <w:szCs w:val="24"/>
        </w:rPr>
        <w:t>Ameloblastoma</w:t>
      </w:r>
      <w:r>
        <w:rPr>
          <w:rFonts w:ascii="Times New Roman" w:cs="Times New Roman" w:hAnsi="Times New Roman"/>
          <w:sz w:val="24"/>
          <w:szCs w:val="24"/>
        </w:rPr>
        <w:t xml:space="preserve">. </w:t>
      </w:r>
    </w:p>
    <w:p>
      <w:pPr>
        <w:pStyle w:val="style0"/>
        <w:spacing w:after="240"/>
        <w:rPr>
          <w:rFonts w:ascii="Times New Roman" w:cs="Times New Roman" w:hAnsi="Times New Roman"/>
          <w:b/>
          <w:color w:val="ff0000"/>
          <w:sz w:val="36"/>
          <w:szCs w:val="26"/>
          <w:lang w:val="en-IN" w:eastAsia="en-IN"/>
        </w:rPr>
      </w:pPr>
    </w:p>
    <w:p>
      <w:pPr>
        <w:pStyle w:val="style0"/>
        <w:rPr>
          <w:rFonts w:ascii="Times New Roman" w:cs="Times New Roman" w:hAnsi="Times New Roman"/>
          <w:b/>
          <w:color w:val="ff0000"/>
          <w:sz w:val="36"/>
          <w:szCs w:val="26"/>
          <w:lang w:val="en-IN" w:eastAsia="en-IN"/>
        </w:rPr>
      </w:pPr>
    </w:p>
    <w:p>
      <w:pPr>
        <w:pStyle w:val="style0"/>
        <w:rPr>
          <w:rFonts w:ascii="Times New Roman" w:cs="Times New Roman" w:hAnsi="Times New Roman"/>
          <w:b/>
          <w:color w:val="ff0000"/>
          <w:sz w:val="36"/>
          <w:szCs w:val="26"/>
          <w:lang w:val="en-IN" w:eastAsia="en-IN"/>
        </w:rPr>
      </w:pPr>
      <w:r>
        <w:rPr>
          <w:noProof/>
        </w:rPr>
        <w:drawing>
          <wp:inline distL="0" distT="0" distB="0" distR="0">
            <wp:extent cx="2518706" cy="2190750"/>
            <wp:effectExtent l="19050" t="0" r="0" b="0"/>
            <wp:docPr id="1026"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 cstate="print"/>
                    <a:srcRect l="0" t="0" r="0" b="0"/>
                    <a:stretch/>
                  </pic:blipFill>
                  <pic:spPr>
                    <a:xfrm rot="0">
                      <a:off x="0" y="0"/>
                      <a:ext cx="2518706" cy="2190750"/>
                    </a:xfrm>
                    <a:prstGeom prst="rect"/>
                    <a:ln>
                      <a:noFill/>
                    </a:ln>
                  </pic:spPr>
                </pic:pic>
              </a:graphicData>
            </a:graphic>
          </wp:inline>
        </w:drawing>
      </w:r>
      <w:r>
        <w:rPr>
          <w:rFonts w:ascii="Times New Roman" w:cs="Times New Roman" w:hAnsi="Times New Roman"/>
          <w:b/>
          <w:noProof/>
          <w:color w:val="ff0000"/>
          <w:sz w:val="36"/>
          <w:szCs w:val="26"/>
        </w:rPr>
        <w:drawing>
          <wp:inline distL="0" distT="0" distB="0" distR="0">
            <wp:extent cx="2504694" cy="2194560"/>
            <wp:effectExtent l="19050" t="0" r="0" b="0"/>
            <wp:docPr id="1027"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 cstate="print"/>
                    <a:srcRect l="0" t="0" r="0" b="0"/>
                    <a:stretch/>
                  </pic:blipFill>
                  <pic:spPr>
                    <a:xfrm rot="0">
                      <a:off x="0" y="0"/>
                      <a:ext cx="2504694" cy="2194560"/>
                    </a:xfrm>
                    <a:prstGeom prst="rect"/>
                    <a:ln>
                      <a:noFill/>
                    </a:ln>
                  </pic:spPr>
                </pic:pic>
              </a:graphicData>
            </a:graphic>
          </wp:inline>
        </w:drawing>
      </w:r>
    </w:p>
    <w:p>
      <w:pPr>
        <w:pStyle w:val="style0"/>
        <w:rPr/>
      </w:pPr>
      <w:r>
        <w:rPr>
          <w:sz w:val="20"/>
          <w:szCs w:val="20"/>
        </w:rPr>
        <w:t xml:space="preserve">Fig.1 Histopathology shows </w:t>
      </w:r>
      <w:r>
        <w:rPr>
          <w:sz w:val="20"/>
          <w:szCs w:val="20"/>
        </w:rPr>
        <w:t>Plexiform</w:t>
      </w:r>
      <w:r>
        <w:rPr>
          <w:sz w:val="20"/>
          <w:szCs w:val="20"/>
        </w:rPr>
        <w:t xml:space="preserve"> pattern</w:t>
      </w:r>
      <w:r>
        <w:t xml:space="preserve">      Fig.2 Grey white soft tissue piece</w:t>
      </w:r>
    </w:p>
    <w:p>
      <w:pPr>
        <w:pStyle w:val="style0"/>
        <w:rPr/>
      </w:pPr>
    </w:p>
    <w:p>
      <w:pPr>
        <w:pStyle w:val="style0"/>
        <w:rPr>
          <w:rFonts w:ascii="Times New Roman" w:cs="Times New Roman" w:hAnsi="Times New Roman"/>
          <w:b/>
          <w:color w:val="ff0000"/>
          <w:sz w:val="36"/>
          <w:szCs w:val="26"/>
          <w:lang w:val="en-IN" w:eastAsia="en-IN"/>
        </w:rPr>
      </w:pPr>
    </w:p>
    <w:p>
      <w:pPr>
        <w:pStyle w:val="style0"/>
        <w:rPr>
          <w:rFonts w:ascii="Times New Roman" w:cs="Times New Roman" w:hAnsi="Times New Roman"/>
          <w:b/>
          <w:color w:val="ff0000"/>
          <w:sz w:val="36"/>
          <w:szCs w:val="26"/>
          <w:lang w:val="en-IN" w:eastAsia="en-IN"/>
        </w:rPr>
      </w:pPr>
    </w:p>
    <w:p>
      <w:pPr>
        <w:pStyle w:val="style0"/>
        <w:rPr>
          <w:rFonts w:ascii="Times New Roman" w:cs="Times New Roman" w:hAnsi="Times New Roman"/>
          <w:b/>
          <w:color w:val="ff0000"/>
          <w:sz w:val="36"/>
          <w:szCs w:val="26"/>
          <w:lang w:val="en-IN" w:eastAsia="en-IN"/>
        </w:rPr>
      </w:pPr>
      <w:r>
        <w:rPr>
          <w:noProof/>
          <w:sz w:val="28"/>
        </w:rPr>
        <w:drawing>
          <wp:inline distL="0" distT="0" distB="0" distR="0">
            <wp:extent cx="2498271" cy="2185987"/>
            <wp:effectExtent l="19050" t="0" r="0" b="0"/>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2498271" cy="2185987"/>
                    </a:xfrm>
                    <a:prstGeom prst="rect"/>
                    <a:ln>
                      <a:noFill/>
                    </a:ln>
                  </pic:spPr>
                </pic:pic>
              </a:graphicData>
            </a:graphic>
          </wp:inline>
        </w:drawing>
      </w:r>
      <w:r>
        <w:rPr>
          <w:rFonts w:ascii="Times New Roman" w:cs="Times New Roman" w:hAnsi="Times New Roman"/>
          <w:b/>
          <w:noProof/>
          <w:color w:val="ff0000"/>
          <w:sz w:val="36"/>
          <w:szCs w:val="26"/>
        </w:rPr>
        <w:drawing>
          <wp:inline distL="0" distT="0" distB="0" distR="0">
            <wp:extent cx="2519324" cy="2187245"/>
            <wp:effectExtent l="19050" t="0" r="0" b="0"/>
            <wp:docPr id="1029"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5" cstate="print"/>
                    <a:srcRect l="0" t="0" r="0" b="0"/>
                    <a:stretch/>
                  </pic:blipFill>
                  <pic:spPr>
                    <a:xfrm rot="0">
                      <a:off x="0" y="0"/>
                      <a:ext cx="2519324" cy="2187245"/>
                    </a:xfrm>
                    <a:prstGeom prst="rect"/>
                    <a:ln>
                      <a:noFill/>
                    </a:ln>
                  </pic:spPr>
                </pic:pic>
              </a:graphicData>
            </a:graphic>
          </wp:inline>
        </w:drawing>
      </w:r>
    </w:p>
    <w:p>
      <w:pPr>
        <w:pStyle w:val="style0"/>
        <w:rPr/>
      </w:pPr>
      <w:r>
        <w:t>Fig.3Bony cavity tissue                                        Fig.4 Tooth bud</w:t>
      </w:r>
    </w:p>
    <w:p>
      <w:pPr>
        <w:pStyle w:val="style0"/>
        <w:pBdr>
          <w:left w:val="single" w:sz="4" w:space="4" w:color="auto"/>
          <w:right w:val="single" w:sz="4" w:space="4" w:color="auto"/>
          <w:top w:val="single" w:sz="4" w:space="1" w:color="auto"/>
          <w:bottom w:val="single" w:sz="4" w:space="1" w:color="auto"/>
          <w:between w:val="single" w:sz="4" w:space="1" w:color="auto"/>
        </w:pBdr>
        <w:spacing w:after="0" w:lineRule="auto" w:line="240"/>
        <w:jc w:val="center"/>
        <w:rPr>
          <w:rFonts w:ascii="Times New Roman" w:cs="Times New Roman" w:hAnsi="Times New Roman"/>
          <w:b/>
          <w:color w:val="ff0000"/>
          <w:sz w:val="36"/>
          <w:szCs w:val="26"/>
          <w:lang w:val="en-IN" w:eastAsia="en-IN"/>
        </w:rPr>
      </w:pPr>
      <w:r>
        <w:rPr>
          <w:rFonts w:ascii="Times New Roman" w:cs="Times New Roman" w:hAnsi="Times New Roman"/>
          <w:b/>
          <w:color w:val="ff0000"/>
          <w:sz w:val="36"/>
          <w:szCs w:val="26"/>
          <w:lang w:val="en-IN" w:eastAsia="en-IN"/>
        </w:rPr>
        <w:t>Discussion</w:t>
      </w:r>
    </w:p>
    <w:p>
      <w:pPr>
        <w:pStyle w:val="style4098"/>
        <w:pBdr>
          <w:left w:val="single" w:sz="4" w:space="4" w:color="auto"/>
          <w:right w:val="single" w:sz="4" w:space="4" w:color="auto"/>
          <w:top w:val="single" w:sz="4" w:space="1" w:color="auto"/>
          <w:bottom w:val="single" w:sz="4" w:space="1" w:color="auto"/>
        </w:pBdr>
        <w:jc w:val="both"/>
        <w:rPr>
          <w:color w:val="auto"/>
        </w:rPr>
      </w:pPr>
      <w:r>
        <w:rPr>
          <w:color w:val="auto"/>
        </w:rPr>
        <w:t>Ameloblastoma</w:t>
      </w:r>
      <w:r>
        <w:rPr>
          <w:color w:val="auto"/>
        </w:rPr>
        <w:t xml:space="preserve"> is the second </w:t>
      </w:r>
      <w:r>
        <w:rPr>
          <w:color w:val="auto"/>
        </w:rPr>
        <w:t>most common</w:t>
      </w:r>
      <w:r>
        <w:rPr>
          <w:color w:val="auto"/>
        </w:rPr>
        <w:t xml:space="preserve"> </w:t>
      </w:r>
      <w:r>
        <w:rPr>
          <w:color w:val="auto"/>
        </w:rPr>
        <w:t>odontogenic</w:t>
      </w:r>
      <w:r>
        <w:rPr>
          <w:color w:val="auto"/>
        </w:rPr>
        <w:t xml:space="preserve"> neoplasm occurring in the oral cavity</w:t>
      </w:r>
      <w:r>
        <w:rPr>
          <w:color w:val="auto"/>
        </w:rPr>
        <w:t xml:space="preserve"> </w:t>
      </w:r>
      <w:r>
        <w:rPr>
          <w:color w:val="auto"/>
        </w:rPr>
        <w:t>after</w:t>
      </w:r>
      <w:r>
        <w:rPr>
          <w:color w:val="auto"/>
        </w:rPr>
        <w:t xml:space="preserve"> </w:t>
      </w:r>
      <w:r>
        <w:rPr>
          <w:color w:val="auto"/>
        </w:rPr>
        <w:t>odontoma</w:t>
      </w:r>
      <w:r>
        <w:rPr>
          <w:color w:val="auto"/>
        </w:rPr>
        <w:t>. In our report the patient is a 14years old female who presented with a large ameloblastoma of the left mandible. According to the study conduc</w:t>
      </w:r>
      <w:r>
        <w:rPr>
          <w:color w:val="auto"/>
        </w:rPr>
        <w:t>ted by Reichert PA</w:t>
      </w:r>
      <w:r>
        <w:rPr>
          <w:color w:val="auto"/>
        </w:rPr>
        <w:t xml:space="preserve"> </w:t>
      </w:r>
      <w:r>
        <w:rPr>
          <w:color w:val="auto"/>
        </w:rPr>
        <w:t xml:space="preserve">and </w:t>
      </w:r>
      <w:r>
        <w:rPr>
          <w:color w:val="auto"/>
        </w:rPr>
        <w:t>Philipsen</w:t>
      </w:r>
      <w:r>
        <w:rPr>
          <w:color w:val="auto"/>
        </w:rPr>
        <w:t xml:space="preserve"> </w:t>
      </w:r>
      <w:r>
        <w:rPr>
          <w:color w:val="auto"/>
        </w:rPr>
        <w:t>HP</w:t>
      </w:r>
      <w:r>
        <w:rPr>
          <w:color w:val="auto"/>
          <w:vertAlign w:val="superscript"/>
        </w:rPr>
        <w:t>4</w:t>
      </w:r>
      <w:r>
        <w:rPr>
          <w:color w:val="auto"/>
        </w:rPr>
        <w:t xml:space="preserve"> </w:t>
      </w:r>
      <w:r>
        <w:rPr>
          <w:color w:val="auto"/>
        </w:rPr>
        <w:t xml:space="preserve">in mandible the </w:t>
      </w:r>
      <w:r>
        <w:rPr>
          <w:color w:val="auto"/>
        </w:rPr>
        <w:t>most  common</w:t>
      </w:r>
      <w:r>
        <w:rPr>
          <w:color w:val="auto"/>
        </w:rPr>
        <w:t xml:space="preserve"> </w:t>
      </w:r>
      <w:r>
        <w:rPr>
          <w:color w:val="auto"/>
        </w:rPr>
        <w:t xml:space="preserve">site of occurrence is molar and ascending ramus region accounting for 39% . </w:t>
      </w:r>
    </w:p>
    <w:p>
      <w:pPr>
        <w:pStyle w:val="style4098"/>
        <w:pBdr>
          <w:left w:val="single" w:sz="4" w:space="4" w:color="auto"/>
          <w:right w:val="single" w:sz="4" w:space="4" w:color="auto"/>
          <w:top w:val="single" w:sz="4" w:space="1" w:color="auto"/>
          <w:bottom w:val="single" w:sz="4" w:space="1" w:color="auto"/>
        </w:pBdr>
        <w:jc w:val="both"/>
        <w:rPr>
          <w:color w:val="auto"/>
        </w:rPr>
      </w:pPr>
      <w:r>
        <w:rPr>
          <w:color w:val="auto"/>
        </w:rPr>
        <w:t>In 1827 Cusack was the first person to describe this tumor</w:t>
      </w:r>
      <w:r>
        <w:rPr>
          <w:color w:val="auto"/>
          <w:vertAlign w:val="superscript"/>
        </w:rPr>
        <w:t>5</w:t>
      </w:r>
      <w:r>
        <w:rPr>
          <w:color w:val="auto"/>
        </w:rPr>
        <w:t>. The name "</w:t>
      </w:r>
      <w:r>
        <w:rPr>
          <w:color w:val="auto"/>
        </w:rPr>
        <w:t>Admantinoma</w:t>
      </w:r>
      <w:r>
        <w:rPr>
          <w:color w:val="auto"/>
        </w:rPr>
        <w:t>" was introduced</w:t>
      </w:r>
      <w:r>
        <w:rPr>
          <w:color w:val="auto"/>
        </w:rPr>
        <w:t xml:space="preserve"> </w:t>
      </w:r>
      <w:r>
        <w:rPr>
          <w:color w:val="auto"/>
        </w:rPr>
        <w:t>byMallassez</w:t>
      </w:r>
      <w:r>
        <w:rPr>
          <w:color w:val="auto"/>
        </w:rPr>
        <w:t xml:space="preserve"> </w:t>
      </w:r>
      <w:r>
        <w:rPr>
          <w:color w:val="auto"/>
        </w:rPr>
        <w:t>in 1885</w:t>
      </w:r>
      <w:r>
        <w:rPr>
          <w:color w:val="auto"/>
        </w:rPr>
        <w:t>,</w:t>
      </w:r>
      <w:r>
        <w:rPr>
          <w:color w:val="auto"/>
        </w:rPr>
        <w:t>which</w:t>
      </w:r>
      <w:r>
        <w:rPr>
          <w:color w:val="auto"/>
        </w:rPr>
        <w:t xml:space="preserve"> nowadays is used</w:t>
      </w:r>
      <w:r>
        <w:rPr>
          <w:color w:val="auto"/>
        </w:rPr>
        <w:t xml:space="preserve"> to </w:t>
      </w:r>
      <w:r>
        <w:rPr>
          <w:color w:val="auto"/>
        </w:rPr>
        <w:t>describe a rare type of bone cancer. Churchill coined the term “</w:t>
      </w:r>
      <w:r>
        <w:rPr>
          <w:color w:val="auto"/>
        </w:rPr>
        <w:t>Ameloblastoma</w:t>
      </w:r>
      <w:r>
        <w:rPr>
          <w:color w:val="auto"/>
        </w:rPr>
        <w:t>” in1930</w:t>
      </w:r>
      <w:r>
        <w:rPr>
          <w:color w:val="auto"/>
          <w:vertAlign w:val="superscript"/>
        </w:rPr>
        <w:t>5</w:t>
      </w:r>
      <w:r>
        <w:rPr>
          <w:color w:val="auto"/>
        </w:rPr>
        <w:t>.According to WHO the tumor is a benign</w:t>
      </w:r>
      <w:r>
        <w:rPr>
          <w:color w:val="auto"/>
        </w:rPr>
        <w:t>,but</w:t>
      </w:r>
      <w:r>
        <w:rPr>
          <w:color w:val="auto"/>
        </w:rPr>
        <w:t xml:space="preserve"> locally invasive neoplasm that often has diverse histologic patterns</w:t>
      </w:r>
      <w:r>
        <w:rPr>
          <w:color w:val="auto"/>
          <w:vertAlign w:val="superscript"/>
        </w:rPr>
        <w:t>6</w:t>
      </w:r>
      <w:r>
        <w:rPr>
          <w:color w:val="auto"/>
        </w:rPr>
        <w:t>. This group of tumors comprise of v</w:t>
      </w:r>
      <w:r>
        <w:rPr>
          <w:color w:val="auto"/>
        </w:rPr>
        <w:t>arious</w:t>
      </w:r>
      <w:r>
        <w:rPr>
          <w:color w:val="auto"/>
        </w:rPr>
        <w:t xml:space="preserve"> </w:t>
      </w:r>
      <w:r>
        <w:rPr>
          <w:color w:val="auto"/>
        </w:rPr>
        <w:t>histopathological</w:t>
      </w:r>
      <w:r>
        <w:rPr>
          <w:color w:val="auto"/>
        </w:rPr>
        <w:t xml:space="preserve"> types and </w:t>
      </w:r>
      <w:r>
        <w:rPr>
          <w:color w:val="auto"/>
        </w:rPr>
        <w:t>clinical  behavior</w:t>
      </w:r>
      <w:r>
        <w:rPr>
          <w:color w:val="auto"/>
        </w:rPr>
        <w:t xml:space="preserve">. </w:t>
      </w:r>
    </w:p>
    <w:p>
      <w:pPr>
        <w:pStyle w:val="style0"/>
        <w:pBdr>
          <w:left w:val="single" w:sz="4" w:space="4" w:color="auto"/>
          <w:right w:val="single" w:sz="4" w:space="4" w:color="auto"/>
          <w:top w:val="single" w:sz="4" w:space="1" w:color="auto"/>
          <w:bottom w:val="single" w:sz="4" w:space="1" w:color="auto"/>
        </w:pBdr>
        <w:spacing w:after="0" w:lineRule="auto" w:line="240"/>
        <w:jc w:val="both"/>
        <w:rPr>
          <w:rFonts w:ascii="Times New Roman" w:cs="Times New Roman" w:hAnsi="Times New Roman"/>
          <w:sz w:val="24"/>
          <w:szCs w:val="24"/>
        </w:rPr>
      </w:pPr>
      <w:r>
        <w:rPr>
          <w:rFonts w:ascii="Times New Roman" w:cs="Times New Roman" w:hAnsi="Times New Roman"/>
          <w:sz w:val="24"/>
          <w:szCs w:val="24"/>
        </w:rPr>
        <w:t>Ameloblastoma accounts for about 1% of all the</w:t>
      </w:r>
      <w:r>
        <w:rPr>
          <w:rFonts w:ascii="Times New Roman" w:cs="Times New Roman" w:hAnsi="Times New Roman"/>
          <w:sz w:val="24"/>
          <w:szCs w:val="24"/>
        </w:rPr>
        <w:t xml:space="preserve"> </w:t>
      </w:r>
      <w:r>
        <w:rPr>
          <w:rFonts w:ascii="Times New Roman" w:cs="Times New Roman" w:hAnsi="Times New Roman"/>
          <w:sz w:val="24"/>
          <w:szCs w:val="24"/>
        </w:rPr>
        <w:t>cyst and tumors of the jaw</w:t>
      </w:r>
      <w:r>
        <w:rPr>
          <w:rFonts w:ascii="Times New Roman" w:cs="Times New Roman" w:hAnsi="Times New Roman"/>
          <w:sz w:val="24"/>
          <w:szCs w:val="24"/>
        </w:rPr>
        <w:t xml:space="preserve"> </w:t>
      </w:r>
      <w:r>
        <w:rPr>
          <w:rFonts w:ascii="Times New Roman" w:cs="Times New Roman" w:hAnsi="Times New Roman"/>
          <w:sz w:val="24"/>
          <w:szCs w:val="24"/>
        </w:rPr>
        <w:t>and</w:t>
      </w:r>
      <w:r>
        <w:rPr>
          <w:rFonts w:ascii="Times New Roman" w:cs="Times New Roman" w:hAnsi="Times New Roman"/>
          <w:sz w:val="24"/>
          <w:szCs w:val="24"/>
        </w:rPr>
        <w:t xml:space="preserve"> 18% of the</w:t>
      </w:r>
      <w:r>
        <w:rPr>
          <w:rFonts w:ascii="Times New Roman" w:cs="Times New Roman" w:hAnsi="Times New Roman"/>
          <w:sz w:val="24"/>
          <w:szCs w:val="24"/>
        </w:rPr>
        <w:t xml:space="preserve"> </w:t>
      </w:r>
      <w:r>
        <w:rPr>
          <w:rFonts w:ascii="Times New Roman" w:cs="Times New Roman" w:hAnsi="Times New Roman"/>
          <w:sz w:val="24"/>
          <w:szCs w:val="24"/>
        </w:rPr>
        <w:t>different</w:t>
      </w:r>
      <w:r>
        <w:rPr>
          <w:rFonts w:ascii="Times New Roman" w:cs="Times New Roman" w:hAnsi="Times New Roman"/>
          <w:sz w:val="24"/>
          <w:szCs w:val="24"/>
        </w:rPr>
        <w:t xml:space="preserve"> </w:t>
      </w:r>
      <w:r>
        <w:rPr>
          <w:rFonts w:ascii="Times New Roman" w:cs="Times New Roman" w:hAnsi="Times New Roman"/>
          <w:sz w:val="24"/>
          <w:szCs w:val="24"/>
        </w:rPr>
        <w:t>odontogenic</w:t>
      </w:r>
      <w:r>
        <w:rPr>
          <w:rFonts w:ascii="Times New Roman" w:cs="Times New Roman" w:hAnsi="Times New Roman"/>
          <w:sz w:val="24"/>
          <w:szCs w:val="24"/>
        </w:rPr>
        <w:t xml:space="preserve"> tumors. The mandible has</w:t>
      </w:r>
      <w:r>
        <w:rPr>
          <w:rFonts w:ascii="Times New Roman" w:cs="Times New Roman" w:hAnsi="Times New Roman"/>
          <w:sz w:val="24"/>
          <w:szCs w:val="24"/>
        </w:rPr>
        <w:t xml:space="preserve"> </w:t>
      </w:r>
      <w:r>
        <w:rPr>
          <w:rFonts w:ascii="Times New Roman" w:cs="Times New Roman" w:hAnsi="Times New Roman"/>
          <w:sz w:val="24"/>
          <w:szCs w:val="24"/>
        </w:rPr>
        <w:t>five times higher occurrence of the tumor as</w:t>
      </w:r>
      <w:r>
        <w:rPr>
          <w:rFonts w:ascii="Times New Roman" w:cs="Times New Roman" w:hAnsi="Times New Roman"/>
          <w:sz w:val="24"/>
          <w:szCs w:val="24"/>
        </w:rPr>
        <w:t xml:space="preserve"> </w:t>
      </w:r>
      <w:r>
        <w:rPr>
          <w:rFonts w:ascii="Times New Roman" w:cs="Times New Roman" w:hAnsi="Times New Roman"/>
          <w:sz w:val="24"/>
          <w:szCs w:val="24"/>
        </w:rPr>
        <w:t>compared</w:t>
      </w:r>
      <w:r>
        <w:rPr>
          <w:rFonts w:ascii="Times New Roman" w:cs="Times New Roman" w:hAnsi="Times New Roman"/>
          <w:sz w:val="24"/>
          <w:szCs w:val="24"/>
        </w:rPr>
        <w:t xml:space="preserve"> to the maxilla. The average age ofoccurrence as reported in literature is 38.9 years. </w:t>
      </w:r>
      <w:r>
        <w:rPr>
          <w:rFonts w:ascii="Times New Roman" w:cs="Times New Roman" w:hAnsi="Times New Roman"/>
          <w:sz w:val="24"/>
          <w:szCs w:val="24"/>
        </w:rPr>
        <w:t>Itoccurs with equal frequency in both sexes.</w:t>
      </w:r>
    </w:p>
    <w:p>
      <w:pPr>
        <w:pStyle w:val="style0"/>
        <w:spacing w:after="0" w:lineRule="auto" w:line="240"/>
        <w:jc w:val="center"/>
        <w:rPr>
          <w:rFonts w:ascii="Times New Roman" w:cs="Times New Roman" w:hAnsi="Times New Roman"/>
          <w:b/>
          <w:color w:val="ff0000"/>
          <w:sz w:val="36"/>
          <w:szCs w:val="26"/>
          <w:lang w:val="en-IN" w:eastAsia="en-IN"/>
        </w:rPr>
      </w:pPr>
    </w:p>
    <w:p>
      <w:pPr>
        <w:pStyle w:val="style0"/>
        <w:pBdr>
          <w:left w:val="single" w:sz="4" w:space="4" w:color="auto"/>
          <w:right w:val="single" w:sz="4" w:space="4" w:color="auto"/>
          <w:top w:val="single" w:sz="4" w:space="1" w:color="auto"/>
          <w:bottom w:val="single" w:sz="4" w:space="1" w:color="auto"/>
          <w:bar w:val="single" w:sz="4" w:space="0" w:color="auto"/>
          <w:between w:val="single" w:sz="4" w:space="1" w:color="auto"/>
        </w:pBdr>
        <w:spacing w:after="0" w:lineRule="auto" w:line="240"/>
        <w:jc w:val="center"/>
        <w:rPr>
          <w:rFonts w:ascii="Times New Roman" w:cs="Times New Roman" w:hAnsi="Times New Roman"/>
          <w:b/>
          <w:color w:val="ff0000"/>
          <w:sz w:val="36"/>
          <w:szCs w:val="26"/>
          <w:lang w:val="en-IN" w:eastAsia="en-IN"/>
        </w:rPr>
      </w:pPr>
      <w:r>
        <w:rPr>
          <w:rFonts w:ascii="Times New Roman" w:cs="Times New Roman" w:hAnsi="Times New Roman"/>
          <w:b/>
          <w:color w:val="ff0000"/>
          <w:sz w:val="36"/>
          <w:szCs w:val="26"/>
          <w:lang w:val="en-IN" w:eastAsia="en-IN"/>
        </w:rPr>
        <w:t>Conclusion</w:t>
      </w:r>
    </w:p>
    <w:p>
      <w:pPr>
        <w:pStyle w:val="style4098"/>
        <w:pBdr>
          <w:left w:val="single" w:sz="4" w:space="4" w:color="auto"/>
          <w:right w:val="single" w:sz="4" w:space="4" w:color="auto"/>
          <w:top w:val="single" w:sz="4" w:space="1" w:color="auto"/>
          <w:bottom w:val="single" w:sz="4" w:space="1" w:color="auto"/>
          <w:bar w:val="single" w:sz="4" w:space="0" w:color="auto"/>
          <w:between w:val="single" w:sz="4" w:space="1" w:color="auto"/>
        </w:pBdr>
        <w:rPr>
          <w:color w:val="auto"/>
        </w:rPr>
      </w:pPr>
      <w:r>
        <w:rPr>
          <w:color w:val="auto"/>
        </w:rPr>
        <w:t>Ameloblastoma</w:t>
      </w:r>
      <w:r>
        <w:rPr>
          <w:color w:val="auto"/>
        </w:rPr>
        <w:t xml:space="preserve"> is most common benign </w:t>
      </w:r>
      <w:r>
        <w:rPr>
          <w:color w:val="auto"/>
        </w:rPr>
        <w:t>odontogenic</w:t>
      </w:r>
      <w:r>
        <w:rPr>
          <w:color w:val="auto"/>
        </w:rPr>
        <w:t xml:space="preserve"> </w:t>
      </w:r>
      <w:r>
        <w:rPr>
          <w:color w:val="auto"/>
        </w:rPr>
        <w:t>tumor</w:t>
      </w:r>
      <w:r>
        <w:rPr>
          <w:color w:val="auto"/>
        </w:rPr>
        <w:t xml:space="preserve"> </w:t>
      </w:r>
      <w:r>
        <w:rPr>
          <w:color w:val="auto"/>
        </w:rPr>
        <w:t>of jaw. It has peak incidence in 3</w:t>
      </w:r>
      <w:r>
        <w:rPr>
          <w:color w:val="auto"/>
          <w:vertAlign w:val="superscript"/>
        </w:rPr>
        <w:t>rd</w:t>
      </w:r>
      <w:r>
        <w:rPr>
          <w:color w:val="auto"/>
        </w:rPr>
        <w:t xml:space="preserve"> and 4</w:t>
      </w:r>
      <w:r>
        <w:rPr>
          <w:color w:val="auto"/>
          <w:vertAlign w:val="superscript"/>
        </w:rPr>
        <w:t>th</w:t>
      </w:r>
      <w:r>
        <w:rPr>
          <w:color w:val="auto"/>
        </w:rPr>
        <w:t xml:space="preserve"> decade but rare in </w:t>
      </w:r>
      <w:r>
        <w:rPr>
          <w:color w:val="auto"/>
        </w:rPr>
        <w:t>childrens</w:t>
      </w:r>
      <w:r>
        <w:rPr>
          <w:color w:val="auto"/>
        </w:rPr>
        <w:t xml:space="preserve"> </w:t>
      </w:r>
      <w:r>
        <w:rPr>
          <w:color w:val="auto"/>
        </w:rPr>
        <w:t>age group with equal gender predilection</w:t>
      </w:r>
      <w:r>
        <w:rPr>
          <w:color w:val="auto"/>
        </w:rPr>
        <w:t>.</w:t>
      </w:r>
    </w:p>
    <w:p>
      <w:pPr>
        <w:pStyle w:val="style0"/>
        <w:spacing w:after="0" w:lineRule="auto" w:line="240"/>
        <w:jc w:val="center"/>
        <w:rPr>
          <w:rFonts w:ascii="Times New Roman" w:cs="Times New Roman" w:hAnsi="Times New Roman"/>
          <w:b/>
          <w:bCs/>
          <w:color w:val="ff0000"/>
          <w:sz w:val="36"/>
          <w:szCs w:val="26"/>
          <w:lang w:val="en-IN" w:eastAsia="en-IN"/>
        </w:rPr>
      </w:pPr>
    </w:p>
    <w:p>
      <w:pPr>
        <w:pStyle w:val="style0"/>
        <w:pBdr>
          <w:left w:val="single" w:sz="4" w:space="4" w:color="auto"/>
          <w:right w:val="single" w:sz="4" w:space="4" w:color="auto"/>
          <w:top w:val="single" w:sz="4" w:space="1" w:color="auto"/>
          <w:bottom w:val="single" w:sz="4" w:space="1" w:color="auto"/>
          <w:between w:val="single" w:sz="4" w:space="1" w:color="auto"/>
        </w:pBdr>
        <w:spacing w:after="0" w:lineRule="auto" w:line="240"/>
        <w:jc w:val="center"/>
        <w:rPr>
          <w:rFonts w:ascii="Times New Roman" w:cs="Times New Roman" w:hAnsi="Times New Roman"/>
          <w:b/>
          <w:bCs/>
          <w:color w:val="ff0000"/>
          <w:sz w:val="36"/>
          <w:szCs w:val="26"/>
          <w:lang w:val="en-IN" w:eastAsia="en-IN"/>
        </w:rPr>
      </w:pPr>
      <w:r>
        <w:rPr>
          <w:rFonts w:ascii="Times New Roman" w:cs="Times New Roman" w:hAnsi="Times New Roman"/>
          <w:b/>
          <w:bCs/>
          <w:color w:val="ff0000"/>
          <w:sz w:val="36"/>
          <w:szCs w:val="26"/>
          <w:lang w:val="en-IN" w:eastAsia="en-IN"/>
        </w:rPr>
        <w:t>References</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color w:val="auto"/>
          <w:sz w:val="20"/>
          <w:szCs w:val="20"/>
        </w:rPr>
        <w:t>1.</w:t>
      </w:r>
      <w:r>
        <w:rPr>
          <w:color w:val="auto"/>
          <w:sz w:val="20"/>
          <w:szCs w:val="20"/>
        </w:rPr>
        <w:t>Kahairi</w:t>
      </w:r>
      <w:r>
        <w:rPr>
          <w:color w:val="auto"/>
          <w:sz w:val="20"/>
          <w:szCs w:val="20"/>
        </w:rPr>
        <w:t xml:space="preserve"> A, Ahmad RL, </w:t>
      </w:r>
      <w:r>
        <w:rPr>
          <w:color w:val="auto"/>
          <w:sz w:val="20"/>
          <w:szCs w:val="20"/>
        </w:rPr>
        <w:t>IslahWan</w:t>
      </w:r>
      <w:r>
        <w:rPr>
          <w:color w:val="auto"/>
          <w:sz w:val="20"/>
          <w:szCs w:val="20"/>
        </w:rPr>
        <w:t xml:space="preserve"> L, </w:t>
      </w:r>
      <w:r>
        <w:rPr>
          <w:color w:val="auto"/>
          <w:sz w:val="20"/>
          <w:szCs w:val="20"/>
        </w:rPr>
        <w:t>etal.Managementoflargemandibularameloblastoma</w:t>
      </w:r>
      <w:r>
        <w:rPr>
          <w:color w:val="auto"/>
          <w:sz w:val="20"/>
          <w:szCs w:val="20"/>
        </w:rPr>
        <w:t xml:space="preserve">—a case report and literature reviews. Arch </w:t>
      </w:r>
      <w:r>
        <w:rPr>
          <w:color w:val="auto"/>
          <w:sz w:val="20"/>
          <w:szCs w:val="20"/>
        </w:rPr>
        <w:t>OrofacSci</w:t>
      </w:r>
      <w:r>
        <w:rPr>
          <w:color w:val="auto"/>
          <w:sz w:val="20"/>
          <w:szCs w:val="20"/>
        </w:rPr>
        <w:t xml:space="preserve"> 2008</w:t>
      </w:r>
      <w:r>
        <w:rPr>
          <w:color w:val="auto"/>
          <w:sz w:val="20"/>
          <w:szCs w:val="20"/>
        </w:rPr>
        <w:t>;2013:52</w:t>
      </w:r>
      <w:r>
        <w:rPr>
          <w:color w:val="auto"/>
          <w:sz w:val="20"/>
          <w:szCs w:val="20"/>
        </w:rPr>
        <w:t xml:space="preserve">–5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2.</w:t>
      </w:r>
      <w:r>
        <w:rPr>
          <w:color w:val="auto"/>
          <w:sz w:val="20"/>
          <w:szCs w:val="20"/>
        </w:rPr>
        <w:t>Giraddi</w:t>
      </w:r>
      <w:r>
        <w:rPr>
          <w:color w:val="auto"/>
          <w:sz w:val="20"/>
          <w:szCs w:val="20"/>
        </w:rPr>
        <w:t xml:space="preserve"> GB, </w:t>
      </w:r>
      <w:r>
        <w:rPr>
          <w:color w:val="auto"/>
          <w:sz w:val="20"/>
          <w:szCs w:val="20"/>
        </w:rPr>
        <w:t>BimleshwarSingh</w:t>
      </w:r>
      <w:r>
        <w:rPr>
          <w:color w:val="auto"/>
          <w:sz w:val="20"/>
          <w:szCs w:val="20"/>
        </w:rPr>
        <w:t xml:space="preserve"> C, et al. </w:t>
      </w:r>
      <w:r>
        <w:rPr>
          <w:color w:val="auto"/>
          <w:sz w:val="20"/>
          <w:szCs w:val="20"/>
        </w:rPr>
        <w:t>Ameloblastoma</w:t>
      </w:r>
      <w:r>
        <w:rPr>
          <w:color w:val="auto"/>
          <w:sz w:val="20"/>
          <w:szCs w:val="20"/>
        </w:rPr>
        <w:t xml:space="preserve">—series of7treated cases—and review of literature. Arch Oral </w:t>
      </w:r>
      <w:r>
        <w:rPr>
          <w:color w:val="auto"/>
          <w:sz w:val="20"/>
          <w:szCs w:val="20"/>
        </w:rPr>
        <w:t>Sci</w:t>
      </w:r>
      <w:r>
        <w:rPr>
          <w:color w:val="auto"/>
          <w:sz w:val="20"/>
          <w:szCs w:val="20"/>
        </w:rPr>
        <w:t xml:space="preserve"> Res 2011</w:t>
      </w:r>
      <w:r>
        <w:rPr>
          <w:color w:val="auto"/>
          <w:sz w:val="20"/>
          <w:szCs w:val="20"/>
        </w:rPr>
        <w:t>;2013:152</w:t>
      </w:r>
      <w:r>
        <w:rPr>
          <w:color w:val="auto"/>
          <w:sz w:val="20"/>
          <w:szCs w:val="20"/>
        </w:rPr>
        <w:t xml:space="preserve">–5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3.</w:t>
      </w:r>
      <w:r>
        <w:rPr>
          <w:color w:val="auto"/>
          <w:sz w:val="20"/>
          <w:szCs w:val="20"/>
        </w:rPr>
        <w:t>Wood</w:t>
      </w:r>
      <w:r>
        <w:rPr>
          <w:color w:val="auto"/>
          <w:sz w:val="20"/>
          <w:szCs w:val="20"/>
        </w:rPr>
        <w:t xml:space="preserve"> NK, </w:t>
      </w:r>
      <w:r>
        <w:rPr>
          <w:color w:val="auto"/>
          <w:sz w:val="20"/>
          <w:szCs w:val="20"/>
        </w:rPr>
        <w:t>GoazPW</w:t>
      </w:r>
      <w:r>
        <w:rPr>
          <w:color w:val="auto"/>
          <w:sz w:val="20"/>
          <w:szCs w:val="20"/>
        </w:rPr>
        <w:t xml:space="preserve">. Differential diagnosis of oral and maxillofacial </w:t>
      </w:r>
      <w:r>
        <w:rPr>
          <w:color w:val="auto"/>
          <w:sz w:val="20"/>
          <w:szCs w:val="20"/>
        </w:rPr>
        <w:t>lesions.In</w:t>
      </w:r>
      <w:r>
        <w:rPr>
          <w:color w:val="auto"/>
          <w:sz w:val="20"/>
          <w:szCs w:val="20"/>
        </w:rPr>
        <w:t>:WoodNK</w:t>
      </w:r>
      <w:r>
        <w:rPr>
          <w:color w:val="auto"/>
          <w:sz w:val="20"/>
          <w:szCs w:val="20"/>
        </w:rPr>
        <w:t xml:space="preserve">, </w:t>
      </w:r>
      <w:r>
        <w:rPr>
          <w:color w:val="auto"/>
          <w:sz w:val="20"/>
          <w:szCs w:val="20"/>
        </w:rPr>
        <w:t>GoazPW</w:t>
      </w:r>
      <w:r>
        <w:rPr>
          <w:color w:val="auto"/>
          <w:sz w:val="20"/>
          <w:szCs w:val="20"/>
        </w:rPr>
        <w:t xml:space="preserve">, </w:t>
      </w:r>
      <w:r>
        <w:rPr>
          <w:color w:val="auto"/>
          <w:sz w:val="20"/>
          <w:szCs w:val="20"/>
        </w:rPr>
        <w:t>KallalRH</w:t>
      </w:r>
      <w:r>
        <w:rPr>
          <w:color w:val="auto"/>
          <w:sz w:val="20"/>
          <w:szCs w:val="20"/>
        </w:rPr>
        <w:t xml:space="preserve">, editors. </w:t>
      </w:r>
      <w:r>
        <w:rPr>
          <w:color w:val="auto"/>
          <w:sz w:val="20"/>
          <w:szCs w:val="20"/>
        </w:rPr>
        <w:t xml:space="preserve">, eds. </w:t>
      </w:r>
      <w:r>
        <w:rPr>
          <w:color w:val="auto"/>
          <w:sz w:val="20"/>
          <w:szCs w:val="20"/>
        </w:rPr>
        <w:t>MultilocularRadiolucencies</w:t>
      </w:r>
      <w:r>
        <w:rPr>
          <w:color w:val="auto"/>
          <w:sz w:val="20"/>
          <w:szCs w:val="20"/>
        </w:rPr>
        <w:t>.</w:t>
      </w:r>
      <w:r>
        <w:rPr>
          <w:color w:val="auto"/>
          <w:sz w:val="20"/>
          <w:szCs w:val="20"/>
        </w:rPr>
        <w:t xml:space="preserve"> 5th </w:t>
      </w:r>
      <w:r>
        <w:rPr>
          <w:color w:val="auto"/>
          <w:sz w:val="20"/>
          <w:szCs w:val="20"/>
        </w:rPr>
        <w:t>edn</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color w:val="auto"/>
          <w:sz w:val="20"/>
          <w:szCs w:val="20"/>
        </w:rPr>
        <w:t xml:space="preserve">Elsevier Publishing, 2007:333–55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4.</w:t>
      </w:r>
      <w:r>
        <w:rPr>
          <w:color w:val="auto"/>
          <w:sz w:val="20"/>
          <w:szCs w:val="20"/>
        </w:rPr>
        <w:t>HertogD</w:t>
      </w:r>
      <w:r>
        <w:rPr>
          <w:color w:val="auto"/>
          <w:sz w:val="20"/>
          <w:szCs w:val="20"/>
        </w:rPr>
        <w:t xml:space="preserve">, Van </w:t>
      </w:r>
      <w:r>
        <w:rPr>
          <w:color w:val="auto"/>
          <w:sz w:val="20"/>
          <w:szCs w:val="20"/>
        </w:rPr>
        <w:t>der</w:t>
      </w:r>
      <w:r>
        <w:rPr>
          <w:color w:val="auto"/>
          <w:sz w:val="20"/>
          <w:szCs w:val="20"/>
        </w:rPr>
        <w:t xml:space="preserve"> Waal I. </w:t>
      </w:r>
      <w:r>
        <w:rPr>
          <w:color w:val="auto"/>
          <w:sz w:val="20"/>
          <w:szCs w:val="20"/>
        </w:rPr>
        <w:t>Ameloblastoma</w:t>
      </w:r>
      <w:r>
        <w:rPr>
          <w:color w:val="auto"/>
          <w:sz w:val="20"/>
          <w:szCs w:val="20"/>
        </w:rPr>
        <w:t xml:space="preserve"> of the jaws: a critical reappraisal based on a 40-years single institution experience. Oral </w:t>
      </w:r>
      <w:r>
        <w:rPr>
          <w:color w:val="auto"/>
          <w:sz w:val="20"/>
          <w:szCs w:val="20"/>
        </w:rPr>
        <w:t>Oncol</w:t>
      </w:r>
      <w:r>
        <w:rPr>
          <w:color w:val="auto"/>
          <w:sz w:val="20"/>
          <w:szCs w:val="20"/>
        </w:rPr>
        <w:t xml:space="preserve"> 2010</w:t>
      </w:r>
      <w:r>
        <w:rPr>
          <w:color w:val="auto"/>
          <w:sz w:val="20"/>
          <w:szCs w:val="20"/>
        </w:rPr>
        <w:t>;2013:61</w:t>
      </w:r>
      <w:r>
        <w:rPr>
          <w:color w:val="auto"/>
          <w:sz w:val="20"/>
          <w:szCs w:val="20"/>
        </w:rPr>
        <w:t>–4</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5.</w:t>
      </w:r>
      <w:r>
        <w:rPr>
          <w:color w:val="auto"/>
          <w:sz w:val="20"/>
          <w:szCs w:val="20"/>
        </w:rPr>
        <w:t>Nakamura</w:t>
      </w:r>
      <w:r>
        <w:rPr>
          <w:color w:val="auto"/>
          <w:sz w:val="20"/>
          <w:szCs w:val="20"/>
        </w:rPr>
        <w:t xml:space="preserve"> N, </w:t>
      </w:r>
      <w:r>
        <w:rPr>
          <w:color w:val="auto"/>
          <w:sz w:val="20"/>
          <w:szCs w:val="20"/>
        </w:rPr>
        <w:t>MitsuyasuT</w:t>
      </w:r>
      <w:r>
        <w:rPr>
          <w:color w:val="auto"/>
          <w:sz w:val="20"/>
          <w:szCs w:val="20"/>
        </w:rPr>
        <w:t xml:space="preserve">, Higuchi Y, et al. Growth characteristics of </w:t>
      </w:r>
      <w:r>
        <w:rPr>
          <w:color w:val="auto"/>
          <w:sz w:val="20"/>
          <w:szCs w:val="20"/>
        </w:rPr>
        <w:t>ameloblastoma</w:t>
      </w:r>
      <w:r>
        <w:rPr>
          <w:color w:val="auto"/>
          <w:sz w:val="20"/>
          <w:szCs w:val="20"/>
        </w:rPr>
        <w:t xml:space="preserve"> involving the inferior alveolar nerve: a clinical and </w:t>
      </w:r>
      <w:r>
        <w:rPr>
          <w:color w:val="auto"/>
          <w:sz w:val="20"/>
          <w:szCs w:val="20"/>
        </w:rPr>
        <w:t>histopathologic</w:t>
      </w:r>
      <w:r>
        <w:rPr>
          <w:color w:val="auto"/>
          <w:sz w:val="20"/>
          <w:szCs w:val="20"/>
        </w:rPr>
        <w:t xml:space="preserve"> study. Oral </w:t>
      </w:r>
      <w:r>
        <w:rPr>
          <w:color w:val="auto"/>
          <w:sz w:val="20"/>
          <w:szCs w:val="20"/>
        </w:rPr>
        <w:t>Surg</w:t>
      </w:r>
      <w:r>
        <w:rPr>
          <w:color w:val="auto"/>
          <w:sz w:val="20"/>
          <w:szCs w:val="20"/>
        </w:rPr>
        <w:t xml:space="preserve"> Oral Med Oral </w:t>
      </w:r>
      <w:r>
        <w:rPr>
          <w:color w:val="auto"/>
          <w:sz w:val="20"/>
          <w:szCs w:val="20"/>
        </w:rPr>
        <w:t>PatholOral</w:t>
      </w:r>
      <w:r>
        <w:rPr>
          <w:color w:val="auto"/>
          <w:sz w:val="20"/>
          <w:szCs w:val="20"/>
        </w:rPr>
        <w:t xml:space="preserve"> RadiolEndod2001</w:t>
      </w:r>
      <w:r>
        <w:rPr>
          <w:color w:val="auto"/>
          <w:sz w:val="20"/>
          <w:szCs w:val="20"/>
        </w:rPr>
        <w:t>;2013:557</w:t>
      </w:r>
      <w:r>
        <w:rPr>
          <w:color w:val="auto"/>
          <w:sz w:val="20"/>
          <w:szCs w:val="20"/>
        </w:rPr>
        <w:t xml:space="preserve">–62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6.</w:t>
      </w:r>
      <w:r>
        <w:rPr>
          <w:color w:val="auto"/>
          <w:sz w:val="20"/>
          <w:szCs w:val="20"/>
        </w:rPr>
        <w:t>GumgumS</w:t>
      </w:r>
      <w:r>
        <w:rPr>
          <w:color w:val="auto"/>
          <w:sz w:val="20"/>
          <w:szCs w:val="20"/>
        </w:rPr>
        <w:t xml:space="preserve">, </w:t>
      </w:r>
      <w:r>
        <w:rPr>
          <w:color w:val="auto"/>
          <w:sz w:val="20"/>
          <w:szCs w:val="20"/>
        </w:rPr>
        <w:t>HogorenB</w:t>
      </w:r>
      <w:r>
        <w:rPr>
          <w:color w:val="auto"/>
          <w:sz w:val="20"/>
          <w:szCs w:val="20"/>
        </w:rPr>
        <w:t xml:space="preserve">. Clinical and radiologic </w:t>
      </w:r>
      <w:r>
        <w:rPr>
          <w:color w:val="auto"/>
          <w:sz w:val="20"/>
          <w:szCs w:val="20"/>
        </w:rPr>
        <w:t>behaviourofameloblastoma</w:t>
      </w:r>
      <w:r>
        <w:rPr>
          <w:color w:val="auto"/>
          <w:sz w:val="20"/>
          <w:szCs w:val="20"/>
        </w:rPr>
        <w:t xml:space="preserve"> in 4 </w:t>
      </w:r>
      <w:r>
        <w:rPr>
          <w:color w:val="auto"/>
          <w:sz w:val="20"/>
          <w:szCs w:val="20"/>
        </w:rPr>
        <w:t>cases.JCanDent</w:t>
      </w:r>
      <w:r>
        <w:rPr>
          <w:color w:val="auto"/>
          <w:sz w:val="20"/>
          <w:szCs w:val="20"/>
        </w:rPr>
        <w:t xml:space="preserve"> Assoc2005</w:t>
      </w:r>
      <w:r>
        <w:rPr>
          <w:color w:val="auto"/>
          <w:sz w:val="20"/>
          <w:szCs w:val="20"/>
        </w:rPr>
        <w:t>;2013:481</w:t>
      </w:r>
      <w:r>
        <w:rPr>
          <w:color w:val="auto"/>
          <w:sz w:val="20"/>
          <w:szCs w:val="20"/>
        </w:rPr>
        <w:t xml:space="preserve">–4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color w:val="auto"/>
          <w:sz w:val="20"/>
          <w:szCs w:val="20"/>
        </w:rPr>
        <w:t>7.</w:t>
      </w:r>
      <w:r>
        <w:rPr>
          <w:color w:val="auto"/>
          <w:sz w:val="20"/>
          <w:szCs w:val="20"/>
        </w:rPr>
        <w:t>Becelli</w:t>
      </w:r>
      <w:r>
        <w:rPr>
          <w:color w:val="auto"/>
          <w:sz w:val="20"/>
          <w:szCs w:val="20"/>
        </w:rPr>
        <w:t xml:space="preserve"> R, </w:t>
      </w:r>
      <w:r>
        <w:rPr>
          <w:color w:val="auto"/>
          <w:sz w:val="20"/>
          <w:szCs w:val="20"/>
        </w:rPr>
        <w:t>CarboniA</w:t>
      </w:r>
      <w:r>
        <w:rPr>
          <w:color w:val="auto"/>
          <w:sz w:val="20"/>
          <w:szCs w:val="20"/>
        </w:rPr>
        <w:t xml:space="preserve">, </w:t>
      </w:r>
      <w:r>
        <w:rPr>
          <w:color w:val="auto"/>
          <w:sz w:val="20"/>
          <w:szCs w:val="20"/>
        </w:rPr>
        <w:t>CerulliG</w:t>
      </w:r>
      <w:r>
        <w:rPr>
          <w:color w:val="auto"/>
          <w:sz w:val="20"/>
          <w:szCs w:val="20"/>
        </w:rPr>
        <w:t xml:space="preserve">, </w:t>
      </w:r>
      <w:r>
        <w:rPr>
          <w:color w:val="auto"/>
          <w:sz w:val="20"/>
          <w:szCs w:val="20"/>
        </w:rPr>
        <w:t>etal</w:t>
      </w:r>
      <w:r>
        <w:rPr>
          <w:color w:val="auto"/>
          <w:sz w:val="20"/>
          <w:szCs w:val="20"/>
        </w:rPr>
        <w:t xml:space="preserve">. </w:t>
      </w:r>
      <w:r>
        <w:rPr>
          <w:color w:val="auto"/>
          <w:sz w:val="20"/>
          <w:szCs w:val="20"/>
        </w:rPr>
        <w:t>Mandibularameloblastoma</w:t>
      </w:r>
      <w:r>
        <w:rPr>
          <w:color w:val="auto"/>
          <w:sz w:val="20"/>
          <w:szCs w:val="20"/>
        </w:rPr>
        <w:t>:analysisof</w:t>
      </w:r>
      <w:r>
        <w:rPr>
          <w:color w:val="auto"/>
          <w:sz w:val="20"/>
          <w:szCs w:val="20"/>
        </w:rPr>
        <w:t xml:space="preserve"> surgical treatment carried out in 60 patients between 1977 and 1998. J </w:t>
      </w:r>
      <w:r>
        <w:rPr>
          <w:color w:val="auto"/>
          <w:sz w:val="20"/>
          <w:szCs w:val="20"/>
        </w:rPr>
        <w:t>CraniofacSurg</w:t>
      </w:r>
      <w:r>
        <w:rPr>
          <w:color w:val="auto"/>
          <w:sz w:val="20"/>
          <w:szCs w:val="20"/>
        </w:rPr>
        <w:t xml:space="preserve"> 2002</w:t>
      </w:r>
      <w:r>
        <w:rPr>
          <w:color w:val="auto"/>
          <w:sz w:val="20"/>
          <w:szCs w:val="20"/>
        </w:rPr>
        <w:t>;2013:395</w:t>
      </w:r>
      <w:r>
        <w:rPr>
          <w:color w:val="auto"/>
          <w:sz w:val="20"/>
          <w:szCs w:val="20"/>
        </w:rPr>
        <w:t xml:space="preserve">–400  </w:t>
      </w:r>
    </w:p>
    <w:p>
      <w:pPr>
        <w:pStyle w:val="style4098"/>
        <w:pBdr>
          <w:left w:val="single" w:sz="4" w:space="4" w:color="auto"/>
          <w:right w:val="single" w:sz="4" w:space="4" w:color="auto"/>
          <w:top w:val="single" w:sz="4" w:space="1" w:color="auto"/>
          <w:bottom w:val="single" w:sz="4" w:space="1" w:color="auto"/>
        </w:pBdr>
        <w:jc w:val="both"/>
        <w:rPr>
          <w:color w:val="auto"/>
          <w:sz w:val="20"/>
          <w:szCs w:val="20"/>
        </w:rPr>
      </w:pPr>
      <w:r>
        <w:rPr>
          <w:b/>
          <w:bCs/>
          <w:sz w:val="20"/>
          <w:szCs w:val="20"/>
        </w:rPr>
        <w:t>8.</w:t>
      </w:r>
      <w:r>
        <w:rPr>
          <w:sz w:val="20"/>
          <w:szCs w:val="20"/>
        </w:rPr>
        <w:t>CankurtaranCeylanZ</w:t>
      </w:r>
      <w:r>
        <w:rPr>
          <w:sz w:val="20"/>
          <w:szCs w:val="20"/>
        </w:rPr>
        <w:t xml:space="preserve">, </w:t>
      </w:r>
      <w:r>
        <w:rPr>
          <w:sz w:val="20"/>
          <w:szCs w:val="20"/>
        </w:rPr>
        <w:t>ChioseaSimon</w:t>
      </w:r>
      <w:r>
        <w:rPr>
          <w:sz w:val="20"/>
          <w:szCs w:val="20"/>
        </w:rPr>
        <w:t xml:space="preserve"> I, </w:t>
      </w:r>
      <w:r>
        <w:rPr>
          <w:sz w:val="20"/>
          <w:szCs w:val="20"/>
        </w:rPr>
        <w:t>LeonjrBE</w:t>
      </w:r>
      <w:r>
        <w:rPr>
          <w:sz w:val="20"/>
          <w:szCs w:val="20"/>
        </w:rPr>
        <w:t xml:space="preserve">, et al. </w:t>
      </w:r>
      <w:r>
        <w:rPr>
          <w:sz w:val="20"/>
          <w:szCs w:val="20"/>
        </w:rPr>
        <w:t>Ameloblastoma</w:t>
      </w:r>
      <w:r>
        <w:rPr>
          <w:sz w:val="20"/>
          <w:szCs w:val="20"/>
        </w:rPr>
        <w:t xml:space="preserve"> and </w:t>
      </w:r>
      <w:r>
        <w:rPr>
          <w:sz w:val="20"/>
          <w:szCs w:val="20"/>
        </w:rPr>
        <w:t>dentigerous</w:t>
      </w:r>
      <w:r>
        <w:rPr>
          <w:sz w:val="20"/>
          <w:szCs w:val="20"/>
        </w:rPr>
        <w:t xml:space="preserve"> cyst associated with impacted </w:t>
      </w:r>
      <w:r>
        <w:rPr>
          <w:sz w:val="20"/>
          <w:szCs w:val="20"/>
        </w:rPr>
        <w:t>mandibular</w:t>
      </w:r>
      <w:r>
        <w:rPr>
          <w:sz w:val="20"/>
          <w:szCs w:val="20"/>
        </w:rPr>
        <w:t xml:space="preserve"> 3rd molar teeth. Radiographics2010</w:t>
      </w:r>
      <w:r>
        <w:rPr>
          <w:sz w:val="20"/>
          <w:szCs w:val="20"/>
        </w:rPr>
        <w:t>;2013:1415</w:t>
      </w:r>
      <w:r>
        <w:rPr>
          <w:sz w:val="20"/>
          <w:szCs w:val="20"/>
        </w:rPr>
        <w:t>–</w:t>
      </w:r>
    </w:p>
    <w:p>
      <w:pPr>
        <w:pStyle w:val="style4098"/>
        <w:pBdr>
          <w:left w:val="single" w:sz="4" w:space="4" w:color="auto"/>
          <w:right w:val="single" w:sz="4" w:space="4" w:color="auto"/>
          <w:top w:val="single" w:sz="4" w:space="1" w:color="auto"/>
          <w:bottom w:val="single" w:sz="4" w:space="1" w:color="auto"/>
        </w:pBdr>
        <w:jc w:val="both"/>
        <w:rPr/>
      </w:pPr>
    </w:p>
    <w:sectPr>
      <w:type w:val="continuous"/>
      <w:pgSz w:w="27363" w:h="17282" w:orient="landscape" w:code="164"/>
      <w:pgMar w:top="720" w:right="720" w:bottom="720" w:left="720" w:header="720" w:footer="720" w:gutter="0"/>
      <w:cols w:space="720" w:num="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AFF" w:usb1="C0007841" w:usb2="00000009" w:usb3="00000000" w:csb0="000001FF"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10002FF" w:usb1="4000ACFF" w:usb2="00000009" w:usb3="00000000" w:csb0="0000019F" w:csb1="00000000"/>
  </w:font>
  <w:font w:name="SimSun">
    <w:altName w:val="宋体"/>
    <w:panose1 w:val="02010600030000010101"/>
    <w:charset w:val="86"/>
    <w:family w:val="auto"/>
    <w:pitch w:val="variable"/>
    <w:sig w:usb0="00000003" w:usb1="288F0000" w:usb2="00000016" w:usb3="00000000" w:csb0="00040001" w:csb1="00000000"/>
  </w:font>
  <w:font w:name="Tahoma">
    <w:altName w:val="Tahoma"/>
    <w:panose1 w:val="020b0604030000040204"/>
    <w:charset w:val="00"/>
    <w:family w:val="swiss"/>
    <w:pitch w:val="variable"/>
    <w:sig w:usb0="E1002EFF" w:usb1="C000605B" w:usb2="00000029" w:usb3="00000000" w:csb0="000101F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77EE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Balloon Text Char"/>
    <w:basedOn w:val="style65"/>
    <w:next w:val="style4097"/>
    <w:link w:val="style153"/>
    <w:uiPriority w:val="99"/>
    <w:rPr>
      <w:rFonts w:ascii="Tahoma" w:cs="Tahoma" w:hAnsi="Tahoma"/>
      <w:sz w:val="16"/>
      <w:szCs w:val="16"/>
    </w:rPr>
  </w:style>
  <w:style w:type="paragraph" w:styleId="style179">
    <w:name w:val="List Paragraph"/>
    <w:basedOn w:val="style0"/>
    <w:next w:val="style179"/>
    <w:qFormat/>
    <w:uiPriority w:val="34"/>
    <w:pPr>
      <w:spacing w:after="0" w:lineRule="auto" w:line="240"/>
      <w:ind w:left="720"/>
      <w:contextualSpacing/>
    </w:pPr>
    <w:rPr>
      <w:rFonts w:ascii="Times New Roman" w:cs="Times New Roman" w:hAnsi="Times New Roman"/>
      <w:sz w:val="24"/>
      <w:szCs w:val="24"/>
      <w:lang w:val="en-IN" w:eastAsia="en-IN"/>
    </w:rPr>
  </w:style>
  <w:style w:type="paragraph" w:customStyle="1" w:styleId="style4098">
    <w:name w:val="Default"/>
    <w:next w:val="style4098"/>
    <w:pPr>
      <w:autoSpaceDE w:val="false"/>
      <w:autoSpaceDN w:val="false"/>
      <w:adjustRightInd w:val="false"/>
      <w:spacing w:after="0" w:lineRule="auto" w:line="240"/>
    </w:pPr>
    <w:rPr>
      <w:rFonts w:ascii="Times New Roman" w:cs="Times New Roman" w:hAnsi="Times New Roman"/>
      <w:color w:val="000000"/>
      <w:sz w:val="24"/>
      <w:szCs w:val="24"/>
    </w:r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emf"/><Relationship Id="rId3" Type="http://schemas.openxmlformats.org/officeDocument/2006/relationships/image" Target="media/image2.emf"/><Relationship Id="rId4" Type="http://schemas.openxmlformats.org/officeDocument/2006/relationships/image" Target="media/image3.emf"/><Relationship Id="rId9" Type="http://schemas.openxmlformats.org/officeDocument/2006/relationships/theme" Target="theme/theme1.xml"/><Relationship Id="rId5" Type="http://schemas.openxmlformats.org/officeDocument/2006/relationships/image" Target="media/image4.emf"/><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765</Words>
  <Pages>1</Pages>
  <Characters>4612</Characters>
  <Application>WPS Office</Application>
  <DocSecurity>0</DocSecurity>
  <Paragraphs>46</Paragraphs>
  <ScaleCrop>false</ScaleCrop>
  <LinksUpToDate>false</LinksUpToDate>
  <CharactersWithSpaces>5395</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2019-05-11T04:41:50Z</dcterms:created>
  <dc:creator>DELL</dc:creator>
  <lastModifiedBy>CPH1859</lastModifiedBy>
  <dcterms:modified xsi:type="dcterms:W3CDTF">2019-05-11T04:41:50Z</dcterms:modified>
  <revision>7</revision>
</coreProperties>
</file>

<file path=docProps/custom.xml><?xml version="1.0" encoding="utf-8"?>
<Properties xmlns="http://schemas.openxmlformats.org/officeDocument/2006/custom-properties" xmlns:vt="http://schemas.openxmlformats.org/officeDocument/2006/docPropsVTypes"/>
</file>