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1A0AB" w14:textId="531F8737" w:rsidR="00AE3E37" w:rsidRPr="00104005" w:rsidRDefault="00104005" w:rsidP="00104005">
      <w:pPr>
        <w:pStyle w:val="Heading1"/>
        <w:spacing w:before="170"/>
        <w:ind w:left="0"/>
        <w:rPr>
          <w:b w:val="0"/>
          <w:bCs w:val="0"/>
          <w:color w:val="4F81BD" w:themeColor="accent1"/>
        </w:rPr>
      </w:pPr>
      <w:bookmarkStart w:id="0" w:name="_Hlk99224164"/>
      <w:bookmarkEnd w:id="0"/>
      <w:r w:rsidRPr="00104005">
        <w:rPr>
          <w:b w:val="0"/>
          <w:bCs w:val="0"/>
          <w:color w:val="4F81BD" w:themeColor="accent1"/>
        </w:rPr>
        <w:t xml:space="preserve">A </w:t>
      </w:r>
      <w:proofErr w:type="spellStart"/>
      <w:r w:rsidRPr="00104005">
        <w:rPr>
          <w:b w:val="0"/>
          <w:bCs w:val="0"/>
          <w:color w:val="4F81BD" w:themeColor="accent1"/>
        </w:rPr>
        <w:t>Polylysine</w:t>
      </w:r>
      <w:proofErr w:type="spellEnd"/>
      <w:r w:rsidRPr="00104005">
        <w:rPr>
          <w:b w:val="0"/>
          <w:bCs w:val="0"/>
          <w:color w:val="4F81BD" w:themeColor="accent1"/>
        </w:rPr>
        <w:t xml:space="preserve"> dendrigraft able to balance </w:t>
      </w:r>
      <w:proofErr w:type="spellStart"/>
      <w:r w:rsidRPr="00104005">
        <w:rPr>
          <w:b w:val="0"/>
          <w:bCs w:val="0"/>
          <w:color w:val="4F81BD" w:themeColor="accent1"/>
        </w:rPr>
        <w:t>acneic</w:t>
      </w:r>
      <w:proofErr w:type="spellEnd"/>
      <w:r w:rsidRPr="00104005">
        <w:rPr>
          <w:b w:val="0"/>
          <w:bCs w:val="0"/>
          <w:color w:val="4F81BD" w:themeColor="accent1"/>
        </w:rPr>
        <w:t xml:space="preserve"> and non </w:t>
      </w:r>
      <w:proofErr w:type="spellStart"/>
      <w:r w:rsidRPr="00104005">
        <w:rPr>
          <w:b w:val="0"/>
          <w:bCs w:val="0"/>
          <w:color w:val="4F81BD" w:themeColor="accent1"/>
        </w:rPr>
        <w:t>acneic</w:t>
      </w:r>
      <w:proofErr w:type="spellEnd"/>
      <w:r w:rsidRPr="00104005">
        <w:rPr>
          <w:b w:val="0"/>
          <w:bCs w:val="0"/>
          <w:color w:val="4F81BD" w:themeColor="accent1"/>
        </w:rPr>
        <w:t xml:space="preserve"> strains of </w:t>
      </w:r>
      <w:proofErr w:type="spellStart"/>
      <w:r w:rsidRPr="00104005">
        <w:rPr>
          <w:b w:val="0"/>
          <w:bCs w:val="0"/>
          <w:i/>
          <w:iCs/>
          <w:color w:val="4F81BD" w:themeColor="accent1"/>
        </w:rPr>
        <w:t>Cutibacterium</w:t>
      </w:r>
      <w:proofErr w:type="spellEnd"/>
      <w:r w:rsidRPr="00104005">
        <w:rPr>
          <w:b w:val="0"/>
          <w:bCs w:val="0"/>
          <w:i/>
          <w:iCs/>
          <w:color w:val="4F81BD" w:themeColor="accent1"/>
        </w:rPr>
        <w:t xml:space="preserve"> acnes </w:t>
      </w:r>
      <w:r w:rsidRPr="00104005">
        <w:rPr>
          <w:b w:val="0"/>
          <w:bCs w:val="0"/>
          <w:color w:val="4F81BD" w:themeColor="accent1"/>
        </w:rPr>
        <w:t>to prevent acne and skin imperfections.</w:t>
      </w:r>
    </w:p>
    <w:p w14:paraId="3BE64E67" w14:textId="77777777" w:rsidR="00104005" w:rsidRDefault="00104005" w:rsidP="00104005">
      <w:pPr>
        <w:pStyle w:val="Default"/>
      </w:pPr>
    </w:p>
    <w:p w14:paraId="581B3D6F" w14:textId="208132B2" w:rsidR="00104005" w:rsidRPr="00104005" w:rsidRDefault="00104005" w:rsidP="00104005">
      <w:pPr>
        <w:pStyle w:val="BodyText"/>
        <w:rPr>
          <w:rFonts w:ascii="Arial"/>
        </w:rPr>
      </w:pPr>
      <w:r w:rsidRPr="00104005">
        <w:rPr>
          <w:rFonts w:ascii="Arial"/>
        </w:rPr>
        <w:t xml:space="preserve"> </w:t>
      </w:r>
      <w:r w:rsidRPr="00104005">
        <w:rPr>
          <w:rFonts w:ascii="Arial"/>
        </w:rPr>
        <w:t xml:space="preserve">Dr </w:t>
      </w:r>
      <w:r w:rsidRPr="00104005">
        <w:rPr>
          <w:rFonts w:ascii="Arial"/>
        </w:rPr>
        <w:t xml:space="preserve">Joan Attia, </w:t>
      </w:r>
      <w:r w:rsidRPr="00104005">
        <w:rPr>
          <w:rFonts w:ascii="Arial"/>
        </w:rPr>
        <w:t>PhD, IF</w:t>
      </w:r>
      <w:r>
        <w:rPr>
          <w:rFonts w:ascii="Arial"/>
        </w:rPr>
        <w:t>F- Lucas Meyer Cosmetics, Toulouse.</w:t>
      </w:r>
    </w:p>
    <w:p w14:paraId="0EA4943F" w14:textId="091C54AC" w:rsidR="00104005" w:rsidRPr="00104005" w:rsidRDefault="00104005" w:rsidP="00104005">
      <w:pPr>
        <w:pStyle w:val="BodyText"/>
        <w:rPr>
          <w:rFonts w:ascii="Arial"/>
          <w:lang w:val="fr-FR"/>
        </w:rPr>
      </w:pPr>
      <w:r w:rsidRPr="00104005">
        <w:rPr>
          <w:rFonts w:ascii="Arial"/>
          <w:lang w:val="fr-FR"/>
        </w:rPr>
        <w:t xml:space="preserve"> Dr </w:t>
      </w:r>
      <w:r w:rsidRPr="00104005">
        <w:rPr>
          <w:rFonts w:ascii="Arial"/>
          <w:lang w:val="fr-FR"/>
        </w:rPr>
        <w:t>Olivier Lesouhaitier</w:t>
      </w:r>
      <w:r w:rsidRPr="00104005">
        <w:rPr>
          <w:rFonts w:ascii="Arial"/>
          <w:lang w:val="fr-FR"/>
        </w:rPr>
        <w:t xml:space="preserve">, PhD, </w:t>
      </w:r>
      <w:r>
        <w:rPr>
          <w:rFonts w:ascii="Arial"/>
          <w:lang w:val="fr-FR"/>
        </w:rPr>
        <w:t xml:space="preserve">Rouen </w:t>
      </w:r>
      <w:proofErr w:type="spellStart"/>
      <w:r>
        <w:rPr>
          <w:rFonts w:ascii="Arial"/>
          <w:lang w:val="fr-FR"/>
        </w:rPr>
        <w:t>University</w:t>
      </w:r>
      <w:proofErr w:type="spellEnd"/>
      <w:r>
        <w:rPr>
          <w:rFonts w:ascii="Arial"/>
          <w:lang w:val="fr-FR"/>
        </w:rPr>
        <w:t>, Evreux.</w:t>
      </w:r>
    </w:p>
    <w:p w14:paraId="7683F72C" w14:textId="77777777" w:rsidR="00AE3E37" w:rsidRPr="00104005" w:rsidRDefault="00AE3E37">
      <w:pPr>
        <w:pStyle w:val="BodyText"/>
        <w:spacing w:before="3"/>
        <w:rPr>
          <w:rFonts w:ascii="Arial"/>
          <w:sz w:val="21"/>
          <w:lang w:val="fr-FR"/>
        </w:rPr>
      </w:pPr>
    </w:p>
    <w:p w14:paraId="3FAE48B2" w14:textId="77777777" w:rsidR="00AE3E37" w:rsidRPr="00104005" w:rsidRDefault="00AE3E37">
      <w:pPr>
        <w:rPr>
          <w:rFonts w:ascii="Arial"/>
          <w:sz w:val="21"/>
          <w:lang w:val="fr-FR"/>
        </w:rPr>
        <w:sectPr w:rsidR="00AE3E37" w:rsidRPr="0010400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C27BC4B" w14:textId="5AA60F56" w:rsidR="00AE3E37" w:rsidRDefault="00A9710C" w:rsidP="00DE3B24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65732A51" w14:textId="41F1A5D3" w:rsidR="00104005" w:rsidRPr="00DE3B24" w:rsidRDefault="00104005" w:rsidP="00104005">
      <w:pPr>
        <w:pStyle w:val="Default"/>
        <w:jc w:val="both"/>
        <w:rPr>
          <w:rFonts w:ascii="Tw Cen MT" w:hAnsi="Tw Cen MT"/>
          <w:sz w:val="20"/>
          <w:szCs w:val="20"/>
        </w:rPr>
      </w:pPr>
      <w:r w:rsidRPr="00DE3B24">
        <w:rPr>
          <w:rFonts w:ascii="Tw Cen MT" w:hAnsi="Tw Cen MT"/>
          <w:sz w:val="20"/>
          <w:szCs w:val="20"/>
        </w:rPr>
        <w:t xml:space="preserve">Acne is one of the most common skin diseases worldwide, affecting up to 85% of the population. At the pathophysiological level, two factors play a crucial role: the sebaceous gland and </w:t>
      </w:r>
      <w:proofErr w:type="spellStart"/>
      <w:r w:rsidRPr="00DE3B24">
        <w:rPr>
          <w:rFonts w:ascii="Tw Cen MT" w:hAnsi="Tw Cen MT"/>
          <w:i/>
          <w:iCs/>
          <w:sz w:val="20"/>
          <w:szCs w:val="20"/>
        </w:rPr>
        <w:t>Cutibacterium</w:t>
      </w:r>
      <w:proofErr w:type="spellEnd"/>
      <w:r w:rsidRPr="00DE3B24">
        <w:rPr>
          <w:rFonts w:ascii="Tw Cen MT" w:hAnsi="Tw Cen MT"/>
          <w:i/>
          <w:iCs/>
          <w:sz w:val="20"/>
          <w:szCs w:val="20"/>
        </w:rPr>
        <w:t xml:space="preserve"> acnes (C. acnes)</w:t>
      </w:r>
      <w:r w:rsidRPr="00DE3B24">
        <w:rPr>
          <w:rFonts w:ascii="Tw Cen MT" w:hAnsi="Tw Cen MT"/>
          <w:sz w:val="20"/>
          <w:szCs w:val="20"/>
        </w:rPr>
        <w:t xml:space="preserve">. New genomic analysis tools have shown that </w:t>
      </w:r>
      <w:r w:rsidRPr="00DE3B24">
        <w:rPr>
          <w:rFonts w:ascii="Tw Cen MT" w:hAnsi="Tw Cen MT"/>
          <w:i/>
          <w:iCs/>
          <w:sz w:val="20"/>
          <w:szCs w:val="20"/>
        </w:rPr>
        <w:t>C. acnes</w:t>
      </w:r>
      <w:r w:rsidRPr="00DE3B24">
        <w:rPr>
          <w:rFonts w:ascii="Tw Cen MT" w:hAnsi="Tw Cen MT"/>
          <w:sz w:val="20"/>
          <w:szCs w:val="20"/>
        </w:rPr>
        <w:t xml:space="preserve">, former </w:t>
      </w:r>
      <w:r w:rsidRPr="00DE3B24">
        <w:rPr>
          <w:rFonts w:ascii="Tw Cen MT" w:hAnsi="Tw Cen MT"/>
          <w:i/>
          <w:iCs/>
          <w:sz w:val="20"/>
          <w:szCs w:val="20"/>
        </w:rPr>
        <w:t>P. acnes</w:t>
      </w:r>
      <w:r w:rsidRPr="00DE3B24">
        <w:rPr>
          <w:rFonts w:ascii="Tw Cen MT" w:hAnsi="Tw Cen MT"/>
          <w:sz w:val="20"/>
          <w:szCs w:val="20"/>
        </w:rPr>
        <w:t xml:space="preserve">, a major member of the normal skin microbiota was subdivided into heterogeneous species including </w:t>
      </w:r>
      <w:proofErr w:type="spellStart"/>
      <w:r w:rsidRPr="00DE3B24">
        <w:rPr>
          <w:rFonts w:ascii="Tw Cen MT" w:hAnsi="Tw Cen MT"/>
          <w:sz w:val="20"/>
          <w:szCs w:val="20"/>
        </w:rPr>
        <w:t>acneic</w:t>
      </w:r>
      <w:proofErr w:type="spellEnd"/>
      <w:r w:rsidRPr="00DE3B24">
        <w:rPr>
          <w:rFonts w:ascii="Tw Cen MT" w:hAnsi="Tw Cen MT"/>
          <w:sz w:val="20"/>
          <w:szCs w:val="20"/>
        </w:rPr>
        <w:t xml:space="preserve"> bacteria such as RT4, RT5 strains, and commensal bacteria such as the RT6 strain. Moreover, recent data indicated also that the loss of diversity of </w:t>
      </w:r>
      <w:r w:rsidRPr="00DE3B24">
        <w:rPr>
          <w:rFonts w:ascii="Tw Cen MT" w:hAnsi="Tw Cen MT"/>
          <w:i/>
          <w:iCs/>
          <w:sz w:val="20"/>
          <w:szCs w:val="20"/>
        </w:rPr>
        <w:t xml:space="preserve">C. acnes </w:t>
      </w:r>
      <w:r w:rsidRPr="00DE3B24">
        <w:rPr>
          <w:rFonts w:ascii="Tw Cen MT" w:hAnsi="Tw Cen MT"/>
          <w:sz w:val="20"/>
          <w:szCs w:val="20"/>
        </w:rPr>
        <w:t xml:space="preserve">species is associated with acne severity. </w:t>
      </w:r>
    </w:p>
    <w:p w14:paraId="36ACE90B" w14:textId="1BE51F2E" w:rsidR="00AE3E37" w:rsidRPr="00DE3B24" w:rsidRDefault="00104005" w:rsidP="00DE3B24">
      <w:pPr>
        <w:pStyle w:val="Default"/>
        <w:jc w:val="both"/>
        <w:rPr>
          <w:rFonts w:ascii="Tw Cen MT" w:hAnsi="Tw Cen MT"/>
          <w:b/>
          <w:bCs/>
          <w:sz w:val="18"/>
          <w:szCs w:val="18"/>
        </w:rPr>
      </w:pPr>
      <w:r w:rsidRPr="00DE3B24">
        <w:rPr>
          <w:rFonts w:ascii="Tw Cen MT" w:hAnsi="Tw Cen MT"/>
          <w:sz w:val="20"/>
          <w:szCs w:val="20"/>
        </w:rPr>
        <w:t xml:space="preserve">Taking all this information, we have developed a green </w:t>
      </w:r>
      <w:proofErr w:type="spellStart"/>
      <w:r w:rsidRPr="00DE3B24">
        <w:rPr>
          <w:rFonts w:ascii="Tw Cen MT" w:hAnsi="Tw Cen MT"/>
          <w:sz w:val="20"/>
          <w:szCs w:val="20"/>
        </w:rPr>
        <w:t>polylysine</w:t>
      </w:r>
      <w:proofErr w:type="spellEnd"/>
      <w:r w:rsidRPr="00DE3B24">
        <w:rPr>
          <w:rFonts w:ascii="Tw Cen MT" w:hAnsi="Tw Cen MT"/>
          <w:sz w:val="20"/>
          <w:szCs w:val="20"/>
        </w:rPr>
        <w:t xml:space="preserve"> </w:t>
      </w:r>
      <w:proofErr w:type="spellStart"/>
      <w:r w:rsidRPr="00DE3B24">
        <w:rPr>
          <w:rFonts w:ascii="Tw Cen MT" w:hAnsi="Tw Cen MT"/>
          <w:sz w:val="20"/>
          <w:szCs w:val="20"/>
        </w:rPr>
        <w:t>dendrigaft</w:t>
      </w:r>
      <w:proofErr w:type="spellEnd"/>
      <w:r w:rsidRPr="00DE3B24">
        <w:rPr>
          <w:rFonts w:ascii="Tw Cen MT" w:hAnsi="Tw Cen MT"/>
          <w:sz w:val="20"/>
          <w:szCs w:val="20"/>
        </w:rPr>
        <w:t xml:space="preserve">, the Dendrimer (G2), able to rebalance </w:t>
      </w:r>
      <w:proofErr w:type="spellStart"/>
      <w:r w:rsidRPr="00DE3B24">
        <w:rPr>
          <w:rFonts w:ascii="Tw Cen MT" w:hAnsi="Tw Cen MT"/>
          <w:sz w:val="20"/>
          <w:szCs w:val="20"/>
        </w:rPr>
        <w:t>acneic</w:t>
      </w:r>
      <w:proofErr w:type="spellEnd"/>
      <w:r w:rsidRPr="00DE3B24">
        <w:rPr>
          <w:rFonts w:ascii="Tw Cen MT" w:hAnsi="Tw Cen MT"/>
          <w:sz w:val="20"/>
          <w:szCs w:val="20"/>
        </w:rPr>
        <w:t xml:space="preserve"> and non </w:t>
      </w:r>
      <w:proofErr w:type="spellStart"/>
      <w:r w:rsidRPr="00DE3B24">
        <w:rPr>
          <w:rFonts w:ascii="Tw Cen MT" w:hAnsi="Tw Cen MT"/>
          <w:sz w:val="20"/>
          <w:szCs w:val="20"/>
        </w:rPr>
        <w:t>acneic</w:t>
      </w:r>
      <w:proofErr w:type="spellEnd"/>
      <w:r w:rsidRPr="00DE3B24">
        <w:rPr>
          <w:rFonts w:ascii="Tw Cen MT" w:hAnsi="Tw Cen MT"/>
          <w:sz w:val="20"/>
          <w:szCs w:val="20"/>
        </w:rPr>
        <w:t xml:space="preserve"> stains of </w:t>
      </w:r>
      <w:r w:rsidRPr="00DE3B24">
        <w:rPr>
          <w:rFonts w:ascii="Tw Cen MT" w:hAnsi="Tw Cen MT"/>
          <w:i/>
          <w:iCs/>
          <w:sz w:val="20"/>
          <w:szCs w:val="20"/>
        </w:rPr>
        <w:t xml:space="preserve">C. acnes </w:t>
      </w:r>
      <w:r w:rsidRPr="00DE3B24">
        <w:rPr>
          <w:rFonts w:ascii="Tw Cen MT" w:hAnsi="Tw Cen MT"/>
          <w:sz w:val="20"/>
          <w:szCs w:val="20"/>
        </w:rPr>
        <w:t xml:space="preserve">to protect skin from inflammation, imperfections and acne. </w:t>
      </w:r>
      <w:r w:rsidRPr="00DE3B24">
        <w:rPr>
          <w:rFonts w:ascii="Tw Cen MT" w:hAnsi="Tw Cen MT"/>
          <w:i/>
          <w:iCs/>
          <w:sz w:val="20"/>
          <w:szCs w:val="20"/>
        </w:rPr>
        <w:t xml:space="preserve">In vitro </w:t>
      </w:r>
      <w:r w:rsidRPr="00DE3B24">
        <w:rPr>
          <w:rFonts w:ascii="Tw Cen MT" w:hAnsi="Tw Cen MT"/>
          <w:sz w:val="20"/>
          <w:szCs w:val="20"/>
        </w:rPr>
        <w:t xml:space="preserve">studies revealed the capacity of the G2 to increase membrane fluidity of </w:t>
      </w:r>
      <w:proofErr w:type="spellStart"/>
      <w:r w:rsidRPr="00DE3B24">
        <w:rPr>
          <w:rFonts w:ascii="Tw Cen MT" w:hAnsi="Tw Cen MT"/>
          <w:sz w:val="20"/>
          <w:szCs w:val="20"/>
        </w:rPr>
        <w:t>acneic</w:t>
      </w:r>
      <w:proofErr w:type="spellEnd"/>
      <w:r w:rsidRPr="00DE3B24">
        <w:rPr>
          <w:rFonts w:ascii="Tw Cen MT" w:hAnsi="Tw Cen MT"/>
          <w:sz w:val="20"/>
          <w:szCs w:val="20"/>
        </w:rPr>
        <w:t xml:space="preserve"> strains RT4 and RT5 and decrease their biomass in contrast to the RT6 strain. Moreover, G2 showed also a strong anti-adhesion power of </w:t>
      </w:r>
      <w:r w:rsidRPr="00DE3B24">
        <w:rPr>
          <w:rFonts w:ascii="Tw Cen MT" w:hAnsi="Tw Cen MT"/>
          <w:i/>
          <w:iCs/>
          <w:sz w:val="20"/>
          <w:szCs w:val="20"/>
        </w:rPr>
        <w:t xml:space="preserve">C. acnes </w:t>
      </w:r>
      <w:r w:rsidRPr="00DE3B24">
        <w:rPr>
          <w:rFonts w:ascii="Tw Cen MT" w:hAnsi="Tw Cen MT"/>
          <w:sz w:val="20"/>
          <w:szCs w:val="20"/>
        </w:rPr>
        <w:t xml:space="preserve">on human keratinocytes. </w:t>
      </w:r>
      <w:r w:rsidRPr="00DE3B24">
        <w:rPr>
          <w:rFonts w:ascii="Tw Cen MT" w:hAnsi="Tw Cen MT"/>
          <w:i/>
          <w:iCs/>
          <w:sz w:val="20"/>
          <w:szCs w:val="20"/>
        </w:rPr>
        <w:t xml:space="preserve">Ex vivo </w:t>
      </w:r>
      <w:r w:rsidRPr="00DE3B24">
        <w:rPr>
          <w:rFonts w:ascii="Tw Cen MT" w:hAnsi="Tw Cen MT"/>
          <w:sz w:val="20"/>
          <w:szCs w:val="20"/>
        </w:rPr>
        <w:t>studies indicated also an anti-inflammatory effect by decreasing IL1</w:t>
      </w:r>
      <w:r w:rsidRPr="00DE3B24">
        <w:rPr>
          <w:sz w:val="20"/>
          <w:szCs w:val="20"/>
        </w:rPr>
        <w:t>α</w:t>
      </w:r>
      <w:r w:rsidRPr="00DE3B24">
        <w:rPr>
          <w:rFonts w:ascii="Tw Cen MT" w:hAnsi="Tw Cen MT"/>
          <w:sz w:val="20"/>
          <w:szCs w:val="20"/>
        </w:rPr>
        <w:t xml:space="preserve"> and TLR2 expressions. These data were confirmed </w:t>
      </w:r>
      <w:r w:rsidRPr="00DE3B24">
        <w:rPr>
          <w:rFonts w:ascii="Tw Cen MT" w:hAnsi="Tw Cen MT"/>
          <w:i/>
          <w:iCs/>
          <w:sz w:val="20"/>
          <w:szCs w:val="20"/>
        </w:rPr>
        <w:t>in vivo</w:t>
      </w:r>
      <w:r w:rsidRPr="00DE3B24">
        <w:rPr>
          <w:rFonts w:ascii="Tw Cen MT" w:hAnsi="Tw Cen MT"/>
          <w:sz w:val="20"/>
          <w:szCs w:val="20"/>
        </w:rPr>
        <w:t xml:space="preserve">: the study was conducted during 28 days on hemi-face, with a twice daily application of G2 (2 ppm) or Placebo cream on 23 volunteers. After 28 days, we observed a significant decrease of the </w:t>
      </w:r>
      <w:proofErr w:type="spellStart"/>
      <w:r w:rsidRPr="00DE3B24">
        <w:rPr>
          <w:rFonts w:ascii="Tw Cen MT" w:hAnsi="Tw Cen MT"/>
          <w:sz w:val="20"/>
          <w:szCs w:val="20"/>
        </w:rPr>
        <w:t>sebo</w:t>
      </w:r>
      <w:proofErr w:type="spellEnd"/>
      <w:r w:rsidRPr="00DE3B24">
        <w:rPr>
          <w:rFonts w:ascii="Tw Cen MT" w:hAnsi="Tw Cen MT"/>
          <w:sz w:val="20"/>
          <w:szCs w:val="20"/>
        </w:rPr>
        <w:t xml:space="preserve">-regulating effect by 11%, </w:t>
      </w:r>
      <w:proofErr w:type="spellStart"/>
      <w:r w:rsidRPr="00DE3B24">
        <w:rPr>
          <w:rFonts w:ascii="Tw Cen MT" w:hAnsi="Tw Cen MT"/>
          <w:sz w:val="20"/>
          <w:szCs w:val="20"/>
        </w:rPr>
        <w:t>retentional</w:t>
      </w:r>
      <w:proofErr w:type="spellEnd"/>
      <w:r w:rsidRPr="00DE3B24">
        <w:rPr>
          <w:rFonts w:ascii="Tw Cen MT" w:hAnsi="Tw Cen MT"/>
          <w:sz w:val="20"/>
          <w:szCs w:val="20"/>
        </w:rPr>
        <w:t xml:space="preserve"> and inflammatory lesions by 31% and 63%, respectively. Interestingly, G2 application promoted also the diversity of </w:t>
      </w:r>
      <w:r w:rsidRPr="00DE3B24">
        <w:rPr>
          <w:rFonts w:ascii="Tw Cen MT" w:hAnsi="Tw Cen MT"/>
          <w:i/>
          <w:iCs/>
          <w:sz w:val="20"/>
          <w:szCs w:val="20"/>
        </w:rPr>
        <w:t xml:space="preserve">C. acnes </w:t>
      </w:r>
      <w:r w:rsidRPr="00DE3B24">
        <w:rPr>
          <w:rFonts w:ascii="Tw Cen MT" w:hAnsi="Tw Cen MT"/>
          <w:sz w:val="20"/>
          <w:szCs w:val="20"/>
        </w:rPr>
        <w:t xml:space="preserve">by increasing the expression of its no </w:t>
      </w:r>
      <w:proofErr w:type="spellStart"/>
      <w:r w:rsidRPr="00DE3B24">
        <w:rPr>
          <w:rFonts w:ascii="Tw Cen MT" w:hAnsi="Tw Cen MT"/>
          <w:sz w:val="20"/>
          <w:szCs w:val="20"/>
        </w:rPr>
        <w:t>acneic</w:t>
      </w:r>
      <w:proofErr w:type="spellEnd"/>
      <w:r w:rsidRPr="00DE3B24">
        <w:rPr>
          <w:rFonts w:ascii="Tw Cen MT" w:hAnsi="Tw Cen MT"/>
          <w:sz w:val="20"/>
          <w:szCs w:val="20"/>
        </w:rPr>
        <w:t xml:space="preserve"> strains compared to its </w:t>
      </w:r>
      <w:proofErr w:type="spellStart"/>
      <w:r w:rsidRPr="00DE3B24">
        <w:rPr>
          <w:rFonts w:ascii="Tw Cen MT" w:hAnsi="Tw Cen MT"/>
          <w:sz w:val="20"/>
          <w:szCs w:val="20"/>
        </w:rPr>
        <w:t>acneic</w:t>
      </w:r>
      <w:proofErr w:type="spellEnd"/>
      <w:r w:rsidRPr="00DE3B24">
        <w:rPr>
          <w:rFonts w:ascii="Tw Cen MT" w:hAnsi="Tw Cen MT"/>
          <w:sz w:val="20"/>
          <w:szCs w:val="20"/>
        </w:rPr>
        <w:t xml:space="preserve"> strains. To conclude, we have demonstrated that G2 could be the new skin care ingredient able to balance </w:t>
      </w:r>
      <w:proofErr w:type="spellStart"/>
      <w:r w:rsidRPr="00DE3B24">
        <w:rPr>
          <w:rFonts w:ascii="Tw Cen MT" w:hAnsi="Tw Cen MT"/>
          <w:sz w:val="20"/>
          <w:szCs w:val="20"/>
        </w:rPr>
        <w:t>acneic</w:t>
      </w:r>
      <w:proofErr w:type="spellEnd"/>
      <w:r w:rsidRPr="00DE3B24">
        <w:rPr>
          <w:rFonts w:ascii="Tw Cen MT" w:hAnsi="Tw Cen MT"/>
          <w:sz w:val="20"/>
          <w:szCs w:val="20"/>
        </w:rPr>
        <w:t xml:space="preserve"> and non </w:t>
      </w:r>
      <w:proofErr w:type="spellStart"/>
      <w:r w:rsidRPr="00DE3B24">
        <w:rPr>
          <w:rFonts w:ascii="Tw Cen MT" w:hAnsi="Tw Cen MT"/>
          <w:sz w:val="20"/>
          <w:szCs w:val="20"/>
        </w:rPr>
        <w:t>acneic</w:t>
      </w:r>
      <w:proofErr w:type="spellEnd"/>
      <w:r w:rsidRPr="00DE3B24">
        <w:rPr>
          <w:rFonts w:ascii="Tw Cen MT" w:hAnsi="Tw Cen MT"/>
          <w:sz w:val="20"/>
          <w:szCs w:val="20"/>
        </w:rPr>
        <w:t xml:space="preserve"> strains of </w:t>
      </w:r>
      <w:r w:rsidRPr="00DE3B24">
        <w:rPr>
          <w:rFonts w:ascii="Tw Cen MT" w:hAnsi="Tw Cen MT"/>
          <w:i/>
          <w:iCs/>
          <w:sz w:val="20"/>
          <w:szCs w:val="20"/>
        </w:rPr>
        <w:t xml:space="preserve">C. acnes </w:t>
      </w:r>
      <w:r w:rsidRPr="00DE3B24">
        <w:rPr>
          <w:rFonts w:ascii="Tw Cen MT" w:hAnsi="Tw Cen MT"/>
          <w:sz w:val="20"/>
          <w:szCs w:val="20"/>
        </w:rPr>
        <w:t xml:space="preserve">to improve skin microbiota and protect skin from inflammation, imperfections and acne. </w:t>
      </w:r>
      <w:r w:rsidR="00A9710C">
        <w:br w:type="column"/>
      </w:r>
      <w:r w:rsidR="00A9710C" w:rsidRPr="00DE3B24">
        <w:rPr>
          <w:b/>
          <w:bCs/>
          <w:color w:val="BF5A14"/>
        </w:rPr>
        <w:t>Image</w:t>
      </w:r>
    </w:p>
    <w:p w14:paraId="2275116E" w14:textId="0DBF0B1E" w:rsidR="00AE3E37" w:rsidRDefault="00104005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751A40CE" wp14:editId="15155A63">
            <wp:extent cx="3165475" cy="16878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A78EA" w14:textId="732C922E" w:rsidR="005973B9" w:rsidRDefault="005973B9" w:rsidP="005973B9">
      <w:pPr>
        <w:spacing w:line="204" w:lineRule="exact"/>
        <w:rPr>
          <w:rFonts w:ascii="Arial"/>
          <w:b/>
          <w:sz w:val="20"/>
        </w:rPr>
      </w:pPr>
      <w:r w:rsidRPr="00DE3B24">
        <w:rPr>
          <w:rFonts w:ascii="Arial"/>
          <w:b/>
          <w:color w:val="BF5A14"/>
          <w:sz w:val="20"/>
          <w:lang w:val="fr-FR"/>
        </w:rPr>
        <w:br/>
      </w:r>
      <w:proofErr w:type="spellStart"/>
      <w:r w:rsidRPr="00DE3B24">
        <w:rPr>
          <w:rFonts w:ascii="Arial"/>
          <w:b/>
          <w:color w:val="BF5A14"/>
          <w:sz w:val="20"/>
          <w:lang w:val="fr-FR"/>
        </w:rPr>
        <w:t>Recent</w:t>
      </w:r>
      <w:proofErr w:type="spellEnd"/>
      <w:r w:rsidRPr="00DE3B24">
        <w:rPr>
          <w:rFonts w:ascii="Arial"/>
          <w:b/>
          <w:color w:val="BF5A14"/>
          <w:sz w:val="20"/>
          <w:lang w:val="fr-FR"/>
        </w:rPr>
        <w:t xml:space="preserve"> Publications </w:t>
      </w:r>
    </w:p>
    <w:p w14:paraId="765E07FF" w14:textId="55C84343" w:rsidR="00DE3B24" w:rsidRPr="00DE3B24" w:rsidRDefault="00DE3B24" w:rsidP="00DE3B24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DE3B24">
        <w:rPr>
          <w:sz w:val="18"/>
          <w:lang w:val="fr-FR"/>
        </w:rPr>
        <w:t xml:space="preserve">Borrel V, </w:t>
      </w:r>
      <w:proofErr w:type="spellStart"/>
      <w:r w:rsidRPr="00DE3B24">
        <w:rPr>
          <w:sz w:val="18"/>
          <w:lang w:val="fr-FR"/>
        </w:rPr>
        <w:t>Gannesen</w:t>
      </w:r>
      <w:proofErr w:type="spellEnd"/>
      <w:r w:rsidRPr="00DE3B24">
        <w:rPr>
          <w:sz w:val="18"/>
          <w:lang w:val="fr-FR"/>
        </w:rPr>
        <w:t xml:space="preserve"> AV, Barreau M, </w:t>
      </w:r>
      <w:proofErr w:type="spellStart"/>
      <w:r w:rsidRPr="00DE3B24">
        <w:rPr>
          <w:sz w:val="18"/>
          <w:lang w:val="fr-FR"/>
        </w:rPr>
        <w:t>Gaviard</w:t>
      </w:r>
      <w:proofErr w:type="spellEnd"/>
      <w:r w:rsidRPr="00DE3B24">
        <w:rPr>
          <w:sz w:val="18"/>
          <w:lang w:val="fr-FR"/>
        </w:rPr>
        <w:t xml:space="preserve"> C, </w:t>
      </w:r>
      <w:proofErr w:type="spellStart"/>
      <w:r w:rsidRPr="00DE3B24">
        <w:rPr>
          <w:sz w:val="18"/>
          <w:lang w:val="fr-FR"/>
        </w:rPr>
        <w:t>Duclairoir-Poc</w:t>
      </w:r>
      <w:proofErr w:type="spellEnd"/>
      <w:r w:rsidRPr="00DE3B24">
        <w:rPr>
          <w:sz w:val="18"/>
          <w:lang w:val="fr-FR"/>
        </w:rPr>
        <w:t xml:space="preserve"> C, Hardouin J, et al. </w:t>
      </w:r>
      <w:r w:rsidRPr="00DE3B24">
        <w:rPr>
          <w:sz w:val="18"/>
        </w:rPr>
        <w:t xml:space="preserve">Adaptation of </w:t>
      </w:r>
      <w:proofErr w:type="spellStart"/>
      <w:r w:rsidRPr="00DE3B24">
        <w:rPr>
          <w:sz w:val="18"/>
        </w:rPr>
        <w:t>acneic</w:t>
      </w:r>
      <w:proofErr w:type="spellEnd"/>
      <w:r w:rsidRPr="00DE3B24">
        <w:rPr>
          <w:sz w:val="18"/>
        </w:rPr>
        <w:t xml:space="preserve"> and non acneic strains of Cutibacterium acnes to sebum-like environment. </w:t>
      </w:r>
      <w:proofErr w:type="spellStart"/>
      <w:r w:rsidRPr="00DE3B24">
        <w:rPr>
          <w:sz w:val="18"/>
        </w:rPr>
        <w:t>Microbiologyopen</w:t>
      </w:r>
      <w:proofErr w:type="spellEnd"/>
      <w:r w:rsidRPr="00DE3B24">
        <w:rPr>
          <w:sz w:val="18"/>
        </w:rPr>
        <w:t xml:space="preserve"> 2019a;8(9):e00841.</w:t>
      </w:r>
    </w:p>
    <w:p w14:paraId="145FFAF1" w14:textId="77777777" w:rsidR="00DE3B24" w:rsidRPr="00DE3B24" w:rsidRDefault="00DE3B24" w:rsidP="00DE3B24">
      <w:pPr>
        <w:pStyle w:val="EndNoteBibliography"/>
        <w:numPr>
          <w:ilvl w:val="0"/>
          <w:numId w:val="3"/>
        </w:numPr>
        <w:spacing w:after="0"/>
        <w:jc w:val="both"/>
        <w:rPr>
          <w:rFonts w:eastAsia="Calibri"/>
          <w:noProof w:val="0"/>
          <w:sz w:val="18"/>
        </w:rPr>
      </w:pPr>
      <w:r w:rsidRPr="00DE3B24">
        <w:rPr>
          <w:rFonts w:eastAsia="Calibri"/>
          <w:noProof w:val="0"/>
          <w:sz w:val="18"/>
        </w:rPr>
        <w:t>Collet H, Souaid E, Cottet H, Deratani A, Boiteau L, Dessalces G, et al. An expeditious multigram-scale synthesis of lysine dendrigraft (DGL) polymers by aqueous N-carboxyanhydride polycondensation. Chemistry 2010;16(7):2309-16.</w:t>
      </w:r>
    </w:p>
    <w:p w14:paraId="412AB084" w14:textId="77777777" w:rsidR="00DE3B24" w:rsidRPr="00DE3B24" w:rsidRDefault="00DE3B24" w:rsidP="00DE3B24">
      <w:pPr>
        <w:pStyle w:val="EndNoteBibliography"/>
        <w:numPr>
          <w:ilvl w:val="0"/>
          <w:numId w:val="3"/>
        </w:numPr>
        <w:spacing w:after="0"/>
        <w:jc w:val="both"/>
        <w:rPr>
          <w:rFonts w:eastAsia="Calibri"/>
          <w:noProof w:val="0"/>
          <w:sz w:val="18"/>
        </w:rPr>
      </w:pPr>
      <w:r w:rsidRPr="00DE3B24">
        <w:rPr>
          <w:rFonts w:eastAsia="Calibri"/>
          <w:noProof w:val="0"/>
          <w:sz w:val="18"/>
        </w:rPr>
        <w:t>Dagnelie MA, Corvec S, Saint-Jean M, Bourdes V, Nguyen JM, Khammari A, et al. Decrease in Diversity of Propionibacterium acnes Phylotypes in Patients with Severe Acne on the Back. Acta Derm Venereol 2018;98(2):262-7.</w:t>
      </w:r>
    </w:p>
    <w:p w14:paraId="577A3376" w14:textId="77777777" w:rsidR="00DE3B24" w:rsidRPr="00DE3B24" w:rsidRDefault="00DE3B24" w:rsidP="00DE3B24">
      <w:pPr>
        <w:pStyle w:val="EndNoteBibliography"/>
        <w:numPr>
          <w:ilvl w:val="0"/>
          <w:numId w:val="3"/>
        </w:numPr>
        <w:spacing w:after="0"/>
        <w:jc w:val="both"/>
        <w:rPr>
          <w:rFonts w:eastAsia="Calibri"/>
          <w:noProof w:val="0"/>
          <w:sz w:val="18"/>
        </w:rPr>
      </w:pPr>
      <w:r w:rsidRPr="00DE3B24">
        <w:rPr>
          <w:rFonts w:eastAsia="Calibri"/>
          <w:noProof w:val="0"/>
          <w:sz w:val="18"/>
        </w:rPr>
        <w:t>Gannesen AV, Zdorovenko EL, Botchkova EA, Hardouin J, Massier S, Kopitsyn DS, et al. Composition of the Biofilm Matrix of Cutibacterium acnes Acneic Strain RT5. Front Microbiol 2019;10:1284.</w:t>
      </w:r>
    </w:p>
    <w:p w14:paraId="59C00C70" w14:textId="77777777" w:rsidR="00DE3B24" w:rsidRDefault="00DE3B24" w:rsidP="00DE3B24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sz w:val="18"/>
        </w:rPr>
      </w:pPr>
    </w:p>
    <w:p w14:paraId="26E43CBE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1CFB13EE" w14:textId="4EBE63F8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</w:p>
    <w:p w14:paraId="67383FD7" w14:textId="3082BDCF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3498B36" wp14:editId="22B86D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84F0E8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E157D9D" w14:textId="1F65A3DE" w:rsidR="00DE3B24" w:rsidRPr="00ED1EE2" w:rsidRDefault="008756E6" w:rsidP="00ED1EE2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</w:p>
    <w:p w14:paraId="1F7D4412" w14:textId="77777777" w:rsidR="00E81093" w:rsidRDefault="00E81093" w:rsidP="00E2251F">
      <w:pPr>
        <w:framePr w:hSpace="45" w:wrap="around" w:vAnchor="text" w:hAnchor="margin" w:x="-120" w:y="68"/>
        <w:jc w:val="both"/>
        <w:rPr>
          <w:rFonts w:ascii="Arial"/>
          <w:sz w:val="14"/>
        </w:rPr>
      </w:pPr>
    </w:p>
    <w:p w14:paraId="28DC42B0" w14:textId="3D6B059B" w:rsidR="00E81093" w:rsidRDefault="00ED1EE2" w:rsidP="00DE3B24">
      <w:pPr>
        <w:framePr w:hSpace="45" w:wrap="around" w:vAnchor="text" w:hAnchor="margin" w:x="-120" w:y="68"/>
        <w:ind w:firstLine="213"/>
        <w:jc w:val="both"/>
        <w:rPr>
          <w:rFonts w:ascii="Arial"/>
          <w:sz w:val="14"/>
        </w:rPr>
      </w:pPr>
      <w:r>
        <w:rPr>
          <w:noProof/>
        </w:rPr>
        <w:drawing>
          <wp:inline distT="0" distB="0" distL="0" distR="0" wp14:anchorId="4DC2EBAA" wp14:editId="48B2A82A">
            <wp:extent cx="635000" cy="82704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46" cy="831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864F6" w14:textId="77777777" w:rsidR="00E81093" w:rsidRDefault="00E81093" w:rsidP="00DE3B24">
      <w:pPr>
        <w:framePr w:hSpace="45" w:wrap="around" w:vAnchor="text" w:hAnchor="margin" w:x="-120" w:y="68"/>
        <w:ind w:firstLine="213"/>
        <w:jc w:val="both"/>
        <w:rPr>
          <w:rFonts w:ascii="Arial"/>
          <w:sz w:val="14"/>
        </w:rPr>
      </w:pPr>
    </w:p>
    <w:p w14:paraId="1EE765C6" w14:textId="24F724B8" w:rsidR="00DE3B24" w:rsidRPr="00DE3B24" w:rsidRDefault="00DE3B24" w:rsidP="00DE3B24">
      <w:pPr>
        <w:framePr w:hSpace="45" w:wrap="around" w:vAnchor="text" w:hAnchor="margin" w:x="-120" w:y="68"/>
        <w:ind w:firstLine="213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  </w:t>
      </w:r>
      <w:r w:rsidRPr="00DE3B24">
        <w:rPr>
          <w:rFonts w:ascii="Arial"/>
          <w:sz w:val="14"/>
        </w:rPr>
        <w:t>PhD on Biomolecules and therapeutic pharmacology and Master</w:t>
      </w:r>
      <w:r w:rsidRPr="00DE3B24">
        <w:rPr>
          <w:rFonts w:ascii="Arial"/>
          <w:sz w:val="14"/>
        </w:rPr>
        <w:t>’</w:t>
      </w:r>
      <w:r w:rsidRPr="00DE3B24">
        <w:rPr>
          <w:rFonts w:ascii="Arial"/>
          <w:sz w:val="14"/>
        </w:rPr>
        <w:t xml:space="preserve">s Degree in Neurosciences, I have more than 13 years experiences in Dermo-cosmetics research. </w:t>
      </w:r>
    </w:p>
    <w:p w14:paraId="05335F9B" w14:textId="2E3813B4" w:rsidR="00DE3B24" w:rsidRDefault="00DE3B24" w:rsidP="00DE3B2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DE3B24">
        <w:rPr>
          <w:rFonts w:ascii="Arial"/>
          <w:sz w:val="14"/>
        </w:rPr>
        <w:t>At IFF-Lucas Meyer Cosmetics since more than 8 years, I am in charge of the research and development for the cosmetics ingredients (active and functional ingredients and delivery systems) for the cosmetics market.</w:t>
      </w:r>
    </w:p>
    <w:p w14:paraId="01ACC694" w14:textId="525D1F17" w:rsidR="00AE3E37" w:rsidRDefault="00A9710C" w:rsidP="00DE3B24">
      <w:pPr>
        <w:spacing w:before="62"/>
        <w:ind w:left="2880" w:right="4235"/>
        <w:rPr>
          <w:sz w:val="20"/>
          <w:szCs w:val="20"/>
        </w:rPr>
      </w:pPr>
      <w:r w:rsidRPr="00DE3B24">
        <w:rPr>
          <w:rFonts w:ascii="Arial"/>
          <w:sz w:val="16"/>
          <w:szCs w:val="16"/>
        </w:rPr>
        <w:t>Email:</w:t>
      </w:r>
      <w:r w:rsidR="00DE3B24">
        <w:rPr>
          <w:rFonts w:ascii="Arial"/>
          <w:sz w:val="20"/>
          <w:szCs w:val="20"/>
        </w:rPr>
        <w:t xml:space="preserve"> </w:t>
      </w:r>
      <w:hyperlink r:id="rId11" w:history="1">
        <w:r w:rsidR="00DE3B24" w:rsidRPr="007A5384">
          <w:rPr>
            <w:rStyle w:val="Hyperlink"/>
            <w:sz w:val="20"/>
            <w:szCs w:val="20"/>
          </w:rPr>
          <w:t>Joan.attia@lucasmeyercosmetics.com</w:t>
        </w:r>
      </w:hyperlink>
    </w:p>
    <w:p w14:paraId="2991DADD" w14:textId="77777777" w:rsidR="00DE3B24" w:rsidRPr="00DE3B24" w:rsidRDefault="00DE3B24" w:rsidP="00DE3B24">
      <w:pPr>
        <w:spacing w:before="62"/>
        <w:ind w:left="2880" w:right="4235"/>
        <w:rPr>
          <w:rFonts w:ascii="Arial"/>
          <w:sz w:val="20"/>
          <w:szCs w:val="20"/>
        </w:rPr>
      </w:pPr>
    </w:p>
    <w:p w14:paraId="5C4AD16A" w14:textId="77777777" w:rsidR="00AE3E37" w:rsidRPr="00DE3B24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E08408C" wp14:editId="4DA12F9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224C5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3D50AB73" w14:textId="77777777" w:rsidR="00AE3E37" w:rsidRPr="00DE3B24" w:rsidRDefault="00AE3E37">
      <w:pPr>
        <w:pStyle w:val="BodyText"/>
        <w:rPr>
          <w:rFonts w:ascii="Arial"/>
          <w:sz w:val="20"/>
        </w:rPr>
      </w:pPr>
    </w:p>
    <w:p w14:paraId="5ACE2062" w14:textId="77777777" w:rsidR="00AE3E37" w:rsidRPr="00DE3B24" w:rsidRDefault="00AE3E37">
      <w:pPr>
        <w:pStyle w:val="BodyText"/>
        <w:rPr>
          <w:rFonts w:ascii="Arial"/>
          <w:sz w:val="20"/>
        </w:rPr>
      </w:pPr>
    </w:p>
    <w:p w14:paraId="30BD45FD" w14:textId="2B9094BF" w:rsidR="00AE3E37" w:rsidRPr="00DE3B24" w:rsidRDefault="00AE3E37">
      <w:pPr>
        <w:pStyle w:val="BodyText"/>
        <w:spacing w:before="7"/>
        <w:rPr>
          <w:rFonts w:ascii="Arial"/>
          <w:sz w:val="29"/>
        </w:rPr>
      </w:pPr>
    </w:p>
    <w:p w14:paraId="010D1BF1" w14:textId="5192C656" w:rsidR="00AE3E37" w:rsidRPr="00DE3B24" w:rsidRDefault="00A9710C" w:rsidP="00DE3B24">
      <w:pPr>
        <w:spacing w:before="39"/>
        <w:ind w:left="100"/>
        <w:rPr>
          <w:rFonts w:ascii="Minion Pro"/>
          <w:b/>
          <w:sz w:val="20"/>
          <w:lang w:val="fr-FR"/>
        </w:rPr>
        <w:sectPr w:rsidR="00AE3E37" w:rsidRPr="00DE3B24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DE3B24">
        <w:rPr>
          <w:rFonts w:ascii="Minion Pro"/>
          <w:b/>
          <w:sz w:val="20"/>
          <w:lang w:val="fr-FR"/>
        </w:rPr>
        <w:t>Notes/Commen</w:t>
      </w:r>
      <w:r w:rsidR="00726B8F">
        <w:rPr>
          <w:rFonts w:ascii="Minion Pro"/>
          <w:b/>
          <w:sz w:val="20"/>
          <w:lang w:val="fr-FR"/>
        </w:rPr>
        <w:t>t</w:t>
      </w:r>
    </w:p>
    <w:p w14:paraId="6EF5B00F" w14:textId="72EE445E" w:rsidR="00AE3E37" w:rsidRPr="00DE3B24" w:rsidRDefault="00AE3E37" w:rsidP="00726B8F">
      <w:pPr>
        <w:pStyle w:val="BodyText"/>
        <w:spacing w:before="3"/>
        <w:rPr>
          <w:rFonts w:ascii="Minion Pro"/>
          <w:sz w:val="26"/>
          <w:lang w:val="fr-FR"/>
        </w:rPr>
      </w:pPr>
    </w:p>
    <w:sectPr w:rsidR="00AE3E37" w:rsidRPr="00DE3B24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0314DF" w14:textId="77777777" w:rsidR="00F8136A" w:rsidRDefault="00F8136A">
      <w:r>
        <w:separator/>
      </w:r>
    </w:p>
  </w:endnote>
  <w:endnote w:type="continuationSeparator" w:id="0">
    <w:p w14:paraId="2B2F1CCB" w14:textId="77777777"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4654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3443EA3" wp14:editId="3C23BB7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23FB23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4663AD2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443E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4923FB23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4663AD2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1DAE226" wp14:editId="0522AE9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263FF4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5704EE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DAE226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3B263FF4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5704EE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E8F8D3A" wp14:editId="0429A56B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340D5F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CF1CAD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8F8D3A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29340D5F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4CF1CAD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ABDA6C" w14:textId="77777777" w:rsidR="00F8136A" w:rsidRDefault="00F8136A">
      <w:r>
        <w:separator/>
      </w:r>
    </w:p>
  </w:footnote>
  <w:footnote w:type="continuationSeparator" w:id="0">
    <w:p w14:paraId="2298C7AC" w14:textId="77777777"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F64258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2DD5556" wp14:editId="201F81E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BBA7F4" w14:textId="77777777" w:rsidR="00AE3E37" w:rsidRPr="00104005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104005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5:3(Suppl) </w:t>
                          </w:r>
                          <w:r w:rsidR="00E2251F">
                            <w:fldChar w:fldCharType="begin"/>
                          </w:r>
                          <w:r w:rsidR="00E2251F" w:rsidRPr="00104005">
                            <w:rPr>
                              <w:lang w:val="fr-FR"/>
                            </w:rPr>
                            <w:instrText xml:space="preserve"> HYPERLINK "http://dx.doi.org/10.4172/2167-0846.C1.006" \h </w:instrText>
                          </w:r>
                          <w:r w:rsidR="00E2251F">
                            <w:fldChar w:fldCharType="separate"/>
                          </w:r>
                          <w:r w:rsidRPr="00104005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http://dx.doi.org/10.4172/2167-0846.C1.006</w:t>
                          </w:r>
                          <w:r w:rsidR="00E2251F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DD555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4CBBA7F4" w14:textId="77777777" w:rsidR="00AE3E37" w:rsidRPr="00104005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104005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5:3(Suppl) </w:t>
                    </w:r>
                    <w:r w:rsidR="00E2251F">
                      <w:fldChar w:fldCharType="begin"/>
                    </w:r>
                    <w:r w:rsidR="00E2251F" w:rsidRPr="00104005">
                      <w:rPr>
                        <w:lang w:val="fr-FR"/>
                      </w:rPr>
                      <w:instrText xml:space="preserve"> HYPERLINK "http://dx.doi.org/10.4172/2167-0846.C1.006" \h </w:instrText>
                    </w:r>
                    <w:r w:rsidR="00E2251F">
                      <w:fldChar w:fldCharType="separate"/>
                    </w:r>
                    <w:r w:rsidRPr="00104005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http://dx.doi.org/10.4172/2167-0846.C1.006</w:t>
                    </w:r>
                    <w:r w:rsidR="00E2251F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3C79BC0" wp14:editId="4BAEFD9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C394A0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142997B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C79BC0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32C394A0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142997B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04005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26B8F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DE3B24"/>
    <w:rsid w:val="00E2251F"/>
    <w:rsid w:val="00E81093"/>
    <w:rsid w:val="00ED1EE2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9D83537"/>
  <w15:docId w15:val="{82B798DF-8157-4200-B0B5-57AC073C3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104005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EndNoteBibliographyCar">
    <w:name w:val="EndNote Bibliography Car"/>
    <w:basedOn w:val="DefaultParagraphFont"/>
    <w:link w:val="EndNoteBibliography"/>
    <w:locked/>
    <w:rsid w:val="00DE3B24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ar"/>
    <w:rsid w:val="00DE3B24"/>
    <w:pPr>
      <w:widowControl/>
      <w:spacing w:after="160"/>
    </w:pPr>
    <w:rPr>
      <w:rFonts w:ascii="Calibri" w:eastAsiaTheme="minorHAnsi" w:hAnsi="Calibri" w:cs="Calibri"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DE3B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5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oan.attia@lucasmeyercosmetics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Joan Attia</cp:lastModifiedBy>
  <cp:revision>9</cp:revision>
  <cp:lastPrinted>2022-03-26T21:05:00Z</cp:lastPrinted>
  <dcterms:created xsi:type="dcterms:W3CDTF">2022-03-26T21:01:00Z</dcterms:created>
  <dcterms:modified xsi:type="dcterms:W3CDTF">2022-03-26T21:06:00Z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