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4480" w:rsidRPr="00EA4480" w:rsidRDefault="00EA4480" w:rsidP="00494130">
      <w:pPr>
        <w:pStyle w:val="Balk1"/>
        <w:spacing w:before="170"/>
        <w:ind w:left="0"/>
        <w:rPr>
          <w:color w:val="337AB7"/>
        </w:rPr>
      </w:pPr>
      <w:r w:rsidRPr="00EA4480">
        <w:rPr>
          <w:color w:val="337AB7"/>
        </w:rPr>
        <w:t>Differential diagnosis of annular urticarial lesions</w:t>
      </w:r>
    </w:p>
    <w:p w:rsidR="0078738A" w:rsidRDefault="0078738A" w:rsidP="005973B9">
      <w:pPr>
        <w:pStyle w:val="GvdeMetni"/>
        <w:spacing w:before="73" w:line="198" w:lineRule="exact"/>
        <w:ind w:left="100" w:right="5987"/>
        <w:rPr>
          <w:rFonts w:ascii="Arial"/>
        </w:rPr>
      </w:pPr>
      <w:proofErr w:type="spellStart"/>
      <w:r>
        <w:rPr>
          <w:rFonts w:ascii="Arial"/>
        </w:rPr>
        <w:t>Dr</w:t>
      </w:r>
      <w:proofErr w:type="spellEnd"/>
      <w:r>
        <w:rPr>
          <w:rFonts w:ascii="Arial"/>
        </w:rPr>
        <w:t xml:space="preserve"> </w:t>
      </w:r>
      <w:r w:rsidR="00EA4480">
        <w:rPr>
          <w:rFonts w:ascii="Arial"/>
        </w:rPr>
        <w:t xml:space="preserve">Sinem </w:t>
      </w:r>
      <w:proofErr w:type="spellStart"/>
      <w:r w:rsidR="00EA4480">
        <w:rPr>
          <w:rFonts w:ascii="Arial"/>
        </w:rPr>
        <w:t>Ornek</w:t>
      </w:r>
      <w:proofErr w:type="spellEnd"/>
      <w:r w:rsidR="005973B9">
        <w:rPr>
          <w:rFonts w:ascii="Arial"/>
        </w:rPr>
        <w:t xml:space="preserve">, </w:t>
      </w:r>
      <w:r w:rsidR="00EA4480">
        <w:rPr>
          <w:rFonts w:ascii="Arial"/>
        </w:rPr>
        <w:t>MD</w:t>
      </w:r>
      <w:r w:rsidR="005973B9">
        <w:rPr>
          <w:rFonts w:ascii="Arial"/>
        </w:rPr>
        <w:t xml:space="preserve">, </w:t>
      </w:r>
      <w:r w:rsidR="00EA4480">
        <w:rPr>
          <w:rFonts w:ascii="Arial"/>
        </w:rPr>
        <w:t xml:space="preserve">Health Sciences University </w:t>
      </w:r>
      <w:proofErr w:type="spellStart"/>
      <w:r w:rsidR="00EA4480">
        <w:rPr>
          <w:rFonts w:ascii="Arial"/>
        </w:rPr>
        <w:t>Diskapi</w:t>
      </w:r>
      <w:proofErr w:type="spellEnd"/>
      <w:r w:rsidR="00EA4480">
        <w:rPr>
          <w:rFonts w:ascii="Arial"/>
        </w:rPr>
        <w:t xml:space="preserve"> </w:t>
      </w:r>
      <w:proofErr w:type="spellStart"/>
      <w:r w:rsidR="00812D22">
        <w:rPr>
          <w:rFonts w:ascii="Arial"/>
        </w:rPr>
        <w:t>Y</w:t>
      </w:r>
      <w:r w:rsidR="00EA4480">
        <w:rPr>
          <w:rFonts w:ascii="Arial"/>
        </w:rPr>
        <w:t>ildirim</w:t>
      </w:r>
      <w:proofErr w:type="spellEnd"/>
      <w:r w:rsidR="00EA4480">
        <w:rPr>
          <w:rFonts w:ascii="Arial"/>
        </w:rPr>
        <w:t xml:space="preserve"> </w:t>
      </w:r>
      <w:proofErr w:type="spellStart"/>
      <w:r w:rsidR="00EA4480">
        <w:rPr>
          <w:rFonts w:ascii="Arial"/>
        </w:rPr>
        <w:t>Beyazit</w:t>
      </w:r>
      <w:proofErr w:type="spellEnd"/>
      <w:r w:rsidR="00EA4480">
        <w:rPr>
          <w:rFonts w:ascii="Arial"/>
        </w:rPr>
        <w:t xml:space="preserve"> Training and Research Hospital</w:t>
      </w:r>
      <w:r w:rsidR="005973B9">
        <w:rPr>
          <w:rFonts w:ascii="Arial"/>
        </w:rPr>
        <w:t xml:space="preserve">, </w:t>
      </w:r>
      <w:r w:rsidR="00EA4480">
        <w:rPr>
          <w:rFonts w:ascii="Arial"/>
        </w:rPr>
        <w:t>Turkey</w:t>
      </w:r>
      <w:r w:rsidR="005973B9">
        <w:rPr>
          <w:rFonts w:ascii="Arial"/>
        </w:rPr>
        <w:t xml:space="preserve"> </w:t>
      </w:r>
    </w:p>
    <w:p w:rsidR="00AE3E37" w:rsidRDefault="00AE3E37">
      <w:pPr>
        <w:pStyle w:val="GvdeMetni"/>
        <w:rPr>
          <w:rFonts w:ascii="Arial"/>
          <w:sz w:val="20"/>
        </w:rPr>
      </w:pPr>
    </w:p>
    <w:p w:rsidR="00AE3E37" w:rsidRDefault="00AE3E37">
      <w:pPr>
        <w:pStyle w:val="GvdeMetni"/>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Balk3"/>
        <w:spacing w:before="147"/>
        <w:jc w:val="both"/>
      </w:pPr>
      <w:r>
        <w:rPr>
          <w:color w:val="BF5A14"/>
        </w:rPr>
        <w:lastRenderedPageBreak/>
        <w:t>Abstract</w:t>
      </w:r>
      <w:r w:rsidR="00812D22">
        <w:rPr>
          <w:color w:val="BF5A14"/>
        </w:rPr>
        <w:t xml:space="preserve"> </w:t>
      </w:r>
    </w:p>
    <w:p w:rsidR="00AE3E37" w:rsidRDefault="00812D22" w:rsidP="00812D22">
      <w:pPr>
        <w:pStyle w:val="Balk3"/>
        <w:spacing w:before="74"/>
        <w:jc w:val="both"/>
      </w:pPr>
      <w:r w:rsidRPr="00812D22">
        <w:rPr>
          <w:rFonts w:ascii="Tw Cen MT" w:eastAsia="Tw Cen MT" w:hAnsi="Tw Cen MT" w:cs="Tw Cen MT"/>
          <w:b w:val="0"/>
          <w:bCs w:val="0"/>
          <w:sz w:val="18"/>
          <w:szCs w:val="18"/>
        </w:rPr>
        <w:t xml:space="preserve">Annular urticarial lesions are routinely encountered conditions in daily dermatology practice and they are usually associated with acute and chronic urticaria. When they are short-lived, migratory, transient and pruritic, and healing with no residual skin marks, the diagnosis of urticaria can be made clearly and easily. Nonetheless, annular urticarial lesions can be the presenting signs of various cutaneous and systemic diseases (Figure 1). The clinicians should be aware of these conditions in order to avoid misdiagnosing them as ordinary urticaria. A careful evaluation of individual lesion characteristics and of associated systemic findings help the clinicians excluding many differential diagnoses and making the exact diagnosis. There are many clues that clinicians can use when making these evaluations. The distribution and morphology of the lesions, the duration of an individual lesion, any </w:t>
      </w:r>
      <w:proofErr w:type="spellStart"/>
      <w:r w:rsidRPr="00812D22">
        <w:rPr>
          <w:rFonts w:ascii="Tw Cen MT" w:eastAsia="Tw Cen MT" w:hAnsi="Tw Cen MT" w:cs="Tw Cen MT"/>
          <w:b w:val="0"/>
          <w:bCs w:val="0"/>
          <w:sz w:val="18"/>
          <w:szCs w:val="18"/>
        </w:rPr>
        <w:t>postinflammatory</w:t>
      </w:r>
      <w:proofErr w:type="spellEnd"/>
      <w:r w:rsidRPr="00812D22">
        <w:rPr>
          <w:rFonts w:ascii="Tw Cen MT" w:eastAsia="Tw Cen MT" w:hAnsi="Tw Cen MT" w:cs="Tw Cen MT"/>
          <w:b w:val="0"/>
          <w:bCs w:val="0"/>
          <w:sz w:val="18"/>
          <w:szCs w:val="18"/>
        </w:rPr>
        <w:t xml:space="preserve"> pigmentation or purpura after disappearance of the lesions, lesion-related symptoms like pruritus, burning and/or pain sensations, and associated systemic findings such as arthralgia, fever, myalgia, fatigue hypotension, wheezing, dyspnea, laryngeal edema are some aspects to be taken into consideration while assessing a patient with an annular urticarial eruption. In this presentation, the differential diagnoses which may manifest as annular urticarial lesions are discussed under the categories of skin diseases and systemic diseases by emphasizing the major clinical features, distinctive laboratory features, diagnostic tests and management strategies. In addition, the questions that should be asked in patients presenting with annular urticarial lesions are addressed, and a simplified algorithm is presented for the differential diagnosis.</w:t>
      </w:r>
      <w:r w:rsidR="00A9710C">
        <w:rPr>
          <w:b w:val="0"/>
        </w:rPr>
        <w:br w:type="column"/>
      </w:r>
      <w:r w:rsidR="00A9710C">
        <w:rPr>
          <w:color w:val="BF5A14"/>
        </w:rPr>
        <w:lastRenderedPageBreak/>
        <w:t>Image</w:t>
      </w:r>
    </w:p>
    <w:p w:rsidR="00AE3E37" w:rsidRDefault="00012FAD">
      <w:pPr>
        <w:pStyle w:val="GvdeMetni"/>
        <w:spacing w:before="2"/>
        <w:rPr>
          <w:rFonts w:ascii="Arial"/>
          <w:b/>
          <w:sz w:val="16"/>
        </w:rPr>
      </w:pPr>
      <w:r w:rsidRPr="00012FAD">
        <w:rPr>
          <w:rFonts w:ascii="Arial"/>
          <w:b/>
          <w:sz w:val="16"/>
          <w:lang w:val="tr-TR"/>
        </w:rPr>
        <w:drawing>
          <wp:inline distT="0" distB="0" distL="0" distR="0" wp14:anchorId="67AADF0D" wp14:editId="43A40A5C">
            <wp:extent cx="3531235" cy="1889760"/>
            <wp:effectExtent l="0" t="0" r="0" b="0"/>
            <wp:docPr id="2"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im 4"/>
                    <pic:cNvPicPr>
                      <a:picLocks noChangeAspect="1"/>
                    </pic:cNvPicPr>
                  </pic:nvPicPr>
                  <pic:blipFill rotWithShape="1">
                    <a:blip r:embed="rId9"/>
                    <a:srcRect l="4567" t="10149" r="5807" b="15253"/>
                    <a:stretch/>
                  </pic:blipFill>
                  <pic:spPr>
                    <a:xfrm>
                      <a:off x="0" y="0"/>
                      <a:ext cx="3540445" cy="1894689"/>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D56575" w:rsidP="00D56575">
      <w:pPr>
        <w:pStyle w:val="ListeParagraf"/>
        <w:numPr>
          <w:ilvl w:val="0"/>
          <w:numId w:val="3"/>
        </w:numPr>
        <w:tabs>
          <w:tab w:val="left" w:pos="384"/>
        </w:tabs>
        <w:spacing w:before="103" w:line="216" w:lineRule="exact"/>
        <w:ind w:right="138"/>
        <w:rPr>
          <w:sz w:val="18"/>
        </w:rPr>
      </w:pPr>
      <w:proofErr w:type="spellStart"/>
      <w:r>
        <w:rPr>
          <w:sz w:val="18"/>
        </w:rPr>
        <w:t>Ornek</w:t>
      </w:r>
      <w:proofErr w:type="spellEnd"/>
      <w:r>
        <w:rPr>
          <w:sz w:val="18"/>
        </w:rPr>
        <w:t xml:space="preserve"> S, </w:t>
      </w:r>
      <w:proofErr w:type="spellStart"/>
      <w:r>
        <w:rPr>
          <w:sz w:val="18"/>
        </w:rPr>
        <w:t>Zuberbier</w:t>
      </w:r>
      <w:proofErr w:type="spellEnd"/>
      <w:r>
        <w:rPr>
          <w:sz w:val="18"/>
        </w:rPr>
        <w:t xml:space="preserve"> T, </w:t>
      </w:r>
      <w:proofErr w:type="spellStart"/>
      <w:r>
        <w:rPr>
          <w:sz w:val="18"/>
        </w:rPr>
        <w:t>Kocaturk</w:t>
      </w:r>
      <w:proofErr w:type="spellEnd"/>
      <w:r>
        <w:rPr>
          <w:sz w:val="18"/>
        </w:rPr>
        <w:t xml:space="preserve"> E (</w:t>
      </w:r>
      <w:r w:rsidRPr="00D56575">
        <w:rPr>
          <w:sz w:val="18"/>
        </w:rPr>
        <w:t>2022</w:t>
      </w:r>
      <w:r>
        <w:rPr>
          <w:sz w:val="18"/>
        </w:rPr>
        <w:t xml:space="preserve">) </w:t>
      </w:r>
      <w:r w:rsidRPr="00D56575">
        <w:rPr>
          <w:sz w:val="18"/>
        </w:rPr>
        <w:t>Annular urticarial lesions.</w:t>
      </w:r>
      <w:r>
        <w:rPr>
          <w:sz w:val="18"/>
        </w:rPr>
        <w:t xml:space="preserve"> </w:t>
      </w:r>
      <w:r w:rsidRPr="00D56575">
        <w:rPr>
          <w:sz w:val="18"/>
        </w:rPr>
        <w:t>Clinics in Dermatology</w:t>
      </w:r>
      <w:r w:rsidR="005973B9" w:rsidRPr="005973B9">
        <w:rPr>
          <w:sz w:val="18"/>
        </w:rPr>
        <w:t xml:space="preserve"> </w:t>
      </w:r>
      <w:proofErr w:type="gramStart"/>
      <w:r w:rsidRPr="00D56575">
        <w:rPr>
          <w:sz w:val="18"/>
        </w:rPr>
        <w:t>1;S</w:t>
      </w:r>
      <w:proofErr w:type="gramEnd"/>
      <w:r w:rsidRPr="00D56575">
        <w:rPr>
          <w:sz w:val="18"/>
        </w:rPr>
        <w:t>0738-081X(21)00268-6.</w:t>
      </w:r>
    </w:p>
    <w:p w:rsidR="00D56575" w:rsidRDefault="00D56575" w:rsidP="00D56575">
      <w:pPr>
        <w:pStyle w:val="GvdeMetni"/>
        <w:numPr>
          <w:ilvl w:val="0"/>
          <w:numId w:val="3"/>
        </w:numPr>
        <w:spacing w:before="85" w:line="216" w:lineRule="exact"/>
        <w:ind w:right="138"/>
        <w:jc w:val="both"/>
        <w:rPr>
          <w:rFonts w:ascii="Calibri" w:hAnsi="Calibri"/>
        </w:rPr>
      </w:pPr>
      <w:proofErr w:type="spellStart"/>
      <w:r w:rsidRPr="00D56575">
        <w:rPr>
          <w:rFonts w:ascii="Calibri" w:hAnsi="Calibri"/>
        </w:rPr>
        <w:t>Peroni</w:t>
      </w:r>
      <w:proofErr w:type="spellEnd"/>
      <w:r w:rsidRPr="00D56575">
        <w:rPr>
          <w:rFonts w:ascii="Calibri" w:hAnsi="Calibri"/>
        </w:rPr>
        <w:t xml:space="preserve"> A, </w:t>
      </w:r>
      <w:proofErr w:type="spellStart"/>
      <w:r w:rsidRPr="00D56575">
        <w:rPr>
          <w:rFonts w:ascii="Calibri" w:hAnsi="Calibri"/>
        </w:rPr>
        <w:t>Colato</w:t>
      </w:r>
      <w:proofErr w:type="spellEnd"/>
      <w:r w:rsidRPr="00D56575">
        <w:rPr>
          <w:rFonts w:ascii="Calibri" w:hAnsi="Calibri"/>
        </w:rPr>
        <w:t xml:space="preserve"> C, </w:t>
      </w:r>
      <w:proofErr w:type="spellStart"/>
      <w:r w:rsidRPr="00D56575">
        <w:rPr>
          <w:rFonts w:ascii="Calibri" w:hAnsi="Calibri"/>
        </w:rPr>
        <w:t>Schena</w:t>
      </w:r>
      <w:proofErr w:type="spellEnd"/>
      <w:r w:rsidRPr="00D56575">
        <w:rPr>
          <w:rFonts w:ascii="Calibri" w:hAnsi="Calibri"/>
        </w:rPr>
        <w:t xml:space="preserve"> D, et al. </w:t>
      </w:r>
      <w:r>
        <w:rPr>
          <w:rFonts w:ascii="Calibri" w:hAnsi="Calibri"/>
        </w:rPr>
        <w:t xml:space="preserve">(2010) </w:t>
      </w:r>
      <w:r w:rsidRPr="00D56575">
        <w:rPr>
          <w:rFonts w:ascii="Calibri" w:hAnsi="Calibri"/>
        </w:rPr>
        <w:t xml:space="preserve">Urticarial lesions: if not urticaria, what else? The differential diagnosis of urticaria: part I. Cutaneous diseases. </w:t>
      </w:r>
      <w:r w:rsidRPr="00D56575">
        <w:rPr>
          <w:rFonts w:ascii="Calibri" w:hAnsi="Calibri"/>
        </w:rPr>
        <w:t>The Journal of the American Academy of Dermatology</w:t>
      </w:r>
      <w:r>
        <w:rPr>
          <w:rFonts w:ascii="Calibri" w:hAnsi="Calibri"/>
        </w:rPr>
        <w:t xml:space="preserve"> </w:t>
      </w:r>
      <w:r w:rsidRPr="00D56575">
        <w:rPr>
          <w:rFonts w:ascii="Calibri" w:hAnsi="Calibri"/>
        </w:rPr>
        <w:t>62:541-555</w:t>
      </w:r>
      <w:r>
        <w:rPr>
          <w:rFonts w:ascii="Calibri" w:hAnsi="Calibri"/>
        </w:rPr>
        <w:t>.</w:t>
      </w:r>
    </w:p>
    <w:p w:rsidR="00AE3E37" w:rsidRDefault="00D56575" w:rsidP="00D56575">
      <w:pPr>
        <w:pStyle w:val="ListeParagraf"/>
        <w:numPr>
          <w:ilvl w:val="0"/>
          <w:numId w:val="3"/>
        </w:numPr>
        <w:tabs>
          <w:tab w:val="left" w:pos="384"/>
        </w:tabs>
        <w:spacing w:before="92" w:line="218" w:lineRule="exact"/>
        <w:rPr>
          <w:sz w:val="18"/>
        </w:rPr>
      </w:pPr>
      <w:r w:rsidRPr="00D56575">
        <w:rPr>
          <w:sz w:val="18"/>
        </w:rPr>
        <w:t xml:space="preserve">Davis MDP, van der </w:t>
      </w:r>
      <w:proofErr w:type="spellStart"/>
      <w:r w:rsidRPr="00D56575">
        <w:rPr>
          <w:sz w:val="18"/>
        </w:rPr>
        <w:t>Hilst</w:t>
      </w:r>
      <w:proofErr w:type="spellEnd"/>
      <w:r w:rsidRPr="00D56575">
        <w:rPr>
          <w:sz w:val="18"/>
        </w:rPr>
        <w:t xml:space="preserve"> JCH (2018) Mimickers of Urticaria: Urticarial Vasculitis and </w:t>
      </w:r>
      <w:proofErr w:type="spellStart"/>
      <w:r w:rsidRPr="00D56575">
        <w:rPr>
          <w:sz w:val="18"/>
        </w:rPr>
        <w:t>Autoinflammatory</w:t>
      </w:r>
      <w:proofErr w:type="spellEnd"/>
      <w:r w:rsidRPr="00D56575">
        <w:rPr>
          <w:sz w:val="18"/>
        </w:rPr>
        <w:t xml:space="preserve"> Diseases. The Journal of Allergy and Clinical Immunology: In Practice 6:1162-1170.</w:t>
      </w:r>
    </w:p>
    <w:p w:rsidR="00D56575" w:rsidRDefault="00835280" w:rsidP="00835280">
      <w:pPr>
        <w:pStyle w:val="ListeParagraf"/>
        <w:numPr>
          <w:ilvl w:val="0"/>
          <w:numId w:val="3"/>
        </w:numPr>
        <w:tabs>
          <w:tab w:val="left" w:pos="384"/>
        </w:tabs>
        <w:spacing w:before="92" w:line="218" w:lineRule="exact"/>
        <w:rPr>
          <w:sz w:val="18"/>
        </w:rPr>
      </w:pPr>
      <w:proofErr w:type="spellStart"/>
      <w:r w:rsidRPr="00835280">
        <w:rPr>
          <w:sz w:val="18"/>
        </w:rPr>
        <w:t>Peroni</w:t>
      </w:r>
      <w:proofErr w:type="spellEnd"/>
      <w:r w:rsidRPr="00835280">
        <w:rPr>
          <w:sz w:val="18"/>
        </w:rPr>
        <w:t xml:space="preserve"> A, </w:t>
      </w:r>
      <w:proofErr w:type="spellStart"/>
      <w:r w:rsidRPr="00835280">
        <w:rPr>
          <w:sz w:val="18"/>
        </w:rPr>
        <w:t>Colato</w:t>
      </w:r>
      <w:proofErr w:type="spellEnd"/>
      <w:r w:rsidRPr="00835280">
        <w:rPr>
          <w:sz w:val="18"/>
        </w:rPr>
        <w:t xml:space="preserve"> C, </w:t>
      </w:r>
      <w:proofErr w:type="spellStart"/>
      <w:r w:rsidRPr="00835280">
        <w:rPr>
          <w:sz w:val="18"/>
        </w:rPr>
        <w:t>Zanoni</w:t>
      </w:r>
      <w:proofErr w:type="spellEnd"/>
      <w:r w:rsidRPr="00835280">
        <w:rPr>
          <w:sz w:val="18"/>
        </w:rPr>
        <w:t xml:space="preserve"> G, et al. (2010) Urticarial lesions: if not urticaria, what else</w:t>
      </w:r>
      <w:r w:rsidRPr="00835280">
        <w:rPr>
          <w:sz w:val="18"/>
          <w:szCs w:val="18"/>
        </w:rPr>
        <w:t xml:space="preserve">? The differential diagnosis of urticaria: part II. Systemic diseases. </w:t>
      </w:r>
      <w:r w:rsidRPr="00835280">
        <w:rPr>
          <w:sz w:val="18"/>
          <w:szCs w:val="18"/>
        </w:rPr>
        <w:t>The Journal of the American Academy of Dermatology</w:t>
      </w:r>
      <w:r w:rsidRPr="00835280">
        <w:rPr>
          <w:sz w:val="18"/>
        </w:rPr>
        <w:t xml:space="preserve"> 62:557-570.</w:t>
      </w:r>
    </w:p>
    <w:p w:rsidR="00835280" w:rsidRPr="00D56575" w:rsidRDefault="00032BDE" w:rsidP="00032BDE">
      <w:pPr>
        <w:pStyle w:val="ListeParagraf"/>
        <w:numPr>
          <w:ilvl w:val="0"/>
          <w:numId w:val="3"/>
        </w:numPr>
        <w:tabs>
          <w:tab w:val="left" w:pos="384"/>
        </w:tabs>
        <w:spacing w:before="92" w:line="218" w:lineRule="exact"/>
        <w:rPr>
          <w:sz w:val="18"/>
        </w:rPr>
      </w:pPr>
      <w:r w:rsidRPr="00032BDE">
        <w:rPr>
          <w:sz w:val="18"/>
        </w:rPr>
        <w:t xml:space="preserve">Krause K, Grattan CE, </w:t>
      </w:r>
      <w:proofErr w:type="spellStart"/>
      <w:r w:rsidRPr="00032BDE">
        <w:rPr>
          <w:sz w:val="18"/>
        </w:rPr>
        <w:t>Bindslev</w:t>
      </w:r>
      <w:proofErr w:type="spellEnd"/>
      <w:r w:rsidRPr="00032BDE">
        <w:rPr>
          <w:sz w:val="18"/>
        </w:rPr>
        <w:t xml:space="preserve">-Jensen C, et al. (2012) How not to miss </w:t>
      </w:r>
      <w:proofErr w:type="spellStart"/>
      <w:r w:rsidRPr="00032BDE">
        <w:rPr>
          <w:sz w:val="18"/>
        </w:rPr>
        <w:t>autoinflammatory</w:t>
      </w:r>
      <w:proofErr w:type="spellEnd"/>
      <w:r w:rsidRPr="00032BDE">
        <w:rPr>
          <w:sz w:val="18"/>
        </w:rPr>
        <w:t xml:space="preserve"> diseases masquerading as urticaria. Allergy 67:1465-1474.</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GvdeMetni"/>
        <w:spacing w:line="40" w:lineRule="exact"/>
        <w:ind w:left="2202"/>
        <w:rPr>
          <w:rFonts w:ascii="Calibri"/>
          <w:sz w:val="4"/>
        </w:rPr>
      </w:pPr>
      <w:bookmarkStart w:id="0" w:name="_GoBack"/>
      <w:bookmarkEnd w:id="0"/>
    </w:p>
    <w:p w:rsidR="00AE3E37" w:rsidRDefault="008756E6" w:rsidP="00404E5B">
      <w:pPr>
        <w:spacing w:before="92"/>
        <w:ind w:right="4234"/>
        <w:rPr>
          <w:rFonts w:ascii="Arial"/>
        </w:rPr>
      </w:pPr>
      <w:r>
        <w:rPr>
          <w:noProof/>
        </w:rPr>
        <w:t xml:space="preserve">              </w:t>
      </w:r>
      <w:r w:rsidR="0086418B">
        <w:rPr>
          <w:rFonts w:ascii="Arial"/>
          <w:noProof/>
          <w:color w:val="BF5A14"/>
          <w:lang w:val="tr-TR" w:eastAsia="tr-TR"/>
        </w:rPr>
        <w:drawing>
          <wp:inline distT="0" distB="0" distL="0" distR="0">
            <wp:extent cx="541020" cy="692040"/>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inem (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6580" cy="699152"/>
                    </a:xfrm>
                    <a:prstGeom prst="rect">
                      <a:avLst/>
                    </a:prstGeom>
                  </pic:spPr>
                </pic:pic>
              </a:graphicData>
            </a:graphic>
          </wp:inline>
        </w:drawing>
      </w:r>
      <w:r w:rsidR="00A9710C">
        <w:rPr>
          <w:rFonts w:ascii="Arial"/>
          <w:color w:val="BF5A14"/>
        </w:rPr>
        <w:t>Biography</w:t>
      </w:r>
      <w:r w:rsidR="00404E5B">
        <w:rPr>
          <w:rFonts w:ascii="Arial"/>
          <w:color w:val="BF5A14"/>
        </w:rPr>
        <w:t xml:space="preserve"> </w:t>
      </w:r>
    </w:p>
    <w:p w:rsidR="00655F18" w:rsidRDefault="00655F18">
      <w:pPr>
        <w:spacing w:before="41" w:line="154" w:lineRule="exact"/>
        <w:ind w:left="213" w:right="231"/>
        <w:jc w:val="both"/>
        <w:rPr>
          <w:rFonts w:ascii="Arial"/>
          <w:sz w:val="14"/>
        </w:rPr>
      </w:pPr>
      <w:r w:rsidRPr="00655F18">
        <w:rPr>
          <w:rFonts w:ascii="Arial"/>
          <w:sz w:val="14"/>
        </w:rPr>
        <w:t xml:space="preserve">Dr. Sinem </w:t>
      </w:r>
      <w:r w:rsidRPr="00655F18">
        <w:rPr>
          <w:rFonts w:ascii="Arial"/>
          <w:sz w:val="14"/>
        </w:rPr>
        <w:t>Ö</w:t>
      </w:r>
      <w:r w:rsidRPr="00655F18">
        <w:rPr>
          <w:rFonts w:ascii="Arial"/>
          <w:sz w:val="14"/>
        </w:rPr>
        <w:t>rnek is a Turkish and European dermatology board certified dermatology specialist. In addition to providing patient care services in the clinic, she also conducts clinical research and participates in international multicenter studies. She has advanced expertise in urticaria and angioedema and worked in the Urticaria Reference and Excellence Center (UCARE).</w:t>
      </w:r>
    </w:p>
    <w:p w:rsidR="00AE3E37" w:rsidRDefault="00A9710C" w:rsidP="00655F18">
      <w:pPr>
        <w:spacing w:before="62"/>
        <w:ind w:left="4217" w:right="4235"/>
        <w:rPr>
          <w:rFonts w:ascii="Arial"/>
          <w:sz w:val="14"/>
        </w:rPr>
      </w:pPr>
      <w:r>
        <w:rPr>
          <w:rFonts w:ascii="Arial"/>
          <w:sz w:val="14"/>
        </w:rPr>
        <w:t xml:space="preserve">Email: </w:t>
      </w:r>
      <w:r w:rsidR="00012FAD">
        <w:rPr>
          <w:rFonts w:ascii="Arial"/>
          <w:sz w:val="14"/>
        </w:rPr>
        <w:t>snm.rnk@gmail.com</w:t>
      </w:r>
    </w:p>
    <w:p w:rsidR="00AE3E37" w:rsidRDefault="00292ED9">
      <w:pPr>
        <w:pStyle w:val="GvdeMetni"/>
        <w:spacing w:before="2"/>
        <w:rPr>
          <w:rFonts w:ascii="Arial"/>
          <w:sz w:val="19"/>
        </w:rPr>
      </w:pPr>
      <w:r>
        <w:rPr>
          <w:noProof/>
          <w:lang w:val="tr-TR" w:eastAsia="tr-T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C8D67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GvdeMetni"/>
        <w:rPr>
          <w:rFonts w:ascii="Arial"/>
          <w:sz w:val="20"/>
        </w:rPr>
      </w:pPr>
    </w:p>
    <w:p w:rsidR="00AE3E37" w:rsidRDefault="00AE3E37">
      <w:pPr>
        <w:pStyle w:val="GvdeMetni"/>
        <w:rPr>
          <w:rFonts w:ascii="Arial"/>
          <w:sz w:val="20"/>
        </w:rPr>
      </w:pPr>
    </w:p>
    <w:p w:rsidR="00AE3E37" w:rsidRDefault="00AE3E37">
      <w:pPr>
        <w:pStyle w:val="GvdeMetni"/>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GvdeMetni"/>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0DEB" w:rsidRDefault="00350DEB">
      <w:r>
        <w:separator/>
      </w:r>
    </w:p>
  </w:endnote>
  <w:endnote w:type="continuationSeparator" w:id="0">
    <w:p w:rsidR="00350DEB" w:rsidRDefault="00350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AFF" w:usb1="4000ACFF" w:usb2="00000001" w:usb3="00000000" w:csb0="000001FF" w:csb1="00000000"/>
  </w:font>
  <w:font w:name="Times New Roman">
    <w:panose1 w:val="02020603050405020304"/>
    <w:charset w:val="A2"/>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default"/>
    <w:sig w:usb0="00000003" w:usb1="00000000" w:usb2="00000000" w:usb3="00000000" w:csb0="00000001"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A2"/>
    <w:family w:val="swiss"/>
    <w:pitch w:val="variable"/>
    <w:sig w:usb0="00000287" w:usb1="00000000" w:usb2="00000000" w:usb3="00000000" w:csb0="0000009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GvdeMetni"/>
      <w:spacing w:line="14" w:lineRule="auto"/>
      <w:rPr>
        <w:sz w:val="20"/>
      </w:rPr>
    </w:pPr>
    <w:r>
      <w:rPr>
        <w:noProof/>
        <w:lang w:val="tr-TR" w:eastAsia="tr-T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tr-TR" w:eastAsia="tr-T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tr-TR" w:eastAsia="tr-T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0DEB" w:rsidRDefault="00350DEB">
      <w:r>
        <w:separator/>
      </w:r>
    </w:p>
  </w:footnote>
  <w:footnote w:type="continuationSeparator" w:id="0">
    <w:p w:rsidR="00350DEB" w:rsidRDefault="00350DE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GvdeMetni"/>
      <w:spacing w:line="14" w:lineRule="auto"/>
      <w:rPr>
        <w:sz w:val="20"/>
      </w:rPr>
    </w:pPr>
    <w:r>
      <w:rPr>
        <w:noProof/>
        <w:lang w:val="tr-TR" w:eastAsia="tr-T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tr-TR" w:eastAsia="tr-T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GvdeMetni"/>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GvdeMetni"/>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2FAD"/>
    <w:rsid w:val="00032BDE"/>
    <w:rsid w:val="000E2911"/>
    <w:rsid w:val="00102C68"/>
    <w:rsid w:val="001263DF"/>
    <w:rsid w:val="001E763C"/>
    <w:rsid w:val="00292ED9"/>
    <w:rsid w:val="00314AFB"/>
    <w:rsid w:val="00350DEB"/>
    <w:rsid w:val="003B76D9"/>
    <w:rsid w:val="00404E5B"/>
    <w:rsid w:val="00414F7B"/>
    <w:rsid w:val="004355DC"/>
    <w:rsid w:val="004749B4"/>
    <w:rsid w:val="00494130"/>
    <w:rsid w:val="004F3523"/>
    <w:rsid w:val="005973B9"/>
    <w:rsid w:val="005B3A56"/>
    <w:rsid w:val="006060CE"/>
    <w:rsid w:val="0063497F"/>
    <w:rsid w:val="00655F18"/>
    <w:rsid w:val="0078738A"/>
    <w:rsid w:val="00812D22"/>
    <w:rsid w:val="00835280"/>
    <w:rsid w:val="0086418B"/>
    <w:rsid w:val="00873DF0"/>
    <w:rsid w:val="008756E6"/>
    <w:rsid w:val="009B2D44"/>
    <w:rsid w:val="00A07E82"/>
    <w:rsid w:val="00A9710C"/>
    <w:rsid w:val="00AE3E37"/>
    <w:rsid w:val="00B21A57"/>
    <w:rsid w:val="00B440C8"/>
    <w:rsid w:val="00C33602"/>
    <w:rsid w:val="00CD6F55"/>
    <w:rsid w:val="00D56575"/>
    <w:rsid w:val="00D62425"/>
    <w:rsid w:val="00DE3104"/>
    <w:rsid w:val="00EA4480"/>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BA6430"/>
  <w15:docId w15:val="{73C630E7-9C68-4ABD-9EA8-6CD461092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Balk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alk2">
    <w:name w:val="heading 2"/>
    <w:basedOn w:val="Normal"/>
    <w:uiPriority w:val="1"/>
    <w:qFormat/>
    <w:rsid w:val="00CD6F55"/>
    <w:pPr>
      <w:ind w:left="100"/>
      <w:outlineLvl w:val="1"/>
    </w:pPr>
    <w:rPr>
      <w:rFonts w:ascii="Minion Pro" w:eastAsia="Minion Pro" w:hAnsi="Minion Pro" w:cs="Minion Pro"/>
      <w:sz w:val="24"/>
      <w:szCs w:val="24"/>
    </w:rPr>
  </w:style>
  <w:style w:type="paragraph" w:styleId="Balk3">
    <w:name w:val="heading 3"/>
    <w:basedOn w:val="Normal"/>
    <w:uiPriority w:val="1"/>
    <w:qFormat/>
    <w:rsid w:val="00CD6F55"/>
    <w:pPr>
      <w:ind w:left="100"/>
      <w:outlineLvl w:val="2"/>
    </w:pPr>
    <w:rPr>
      <w:rFonts w:ascii="Arial" w:eastAsia="Arial" w:hAnsi="Arial" w:cs="Arial"/>
      <w:b/>
      <w:bCs/>
      <w:sz w:val="20"/>
      <w:szCs w:val="20"/>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CD6F55"/>
    <w:rPr>
      <w:sz w:val="18"/>
      <w:szCs w:val="18"/>
    </w:rPr>
  </w:style>
  <w:style w:type="paragraph" w:styleId="ListeParagraf">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stBilgi">
    <w:name w:val="header"/>
    <w:basedOn w:val="Normal"/>
    <w:link w:val="stBilgiChar"/>
    <w:uiPriority w:val="99"/>
    <w:unhideWhenUsed/>
    <w:rsid w:val="005B3A56"/>
    <w:pPr>
      <w:tabs>
        <w:tab w:val="center" w:pos="4513"/>
        <w:tab w:val="right" w:pos="9026"/>
      </w:tabs>
    </w:pPr>
  </w:style>
  <w:style w:type="character" w:customStyle="1" w:styleId="stBilgiChar">
    <w:name w:val="Üst Bilgi Char"/>
    <w:basedOn w:val="VarsaylanParagrafYazTipi"/>
    <w:link w:val="stBilgi"/>
    <w:uiPriority w:val="99"/>
    <w:rsid w:val="005B3A56"/>
    <w:rPr>
      <w:rFonts w:ascii="Tw Cen MT" w:eastAsia="Tw Cen MT" w:hAnsi="Tw Cen MT" w:cs="Tw Cen MT"/>
    </w:rPr>
  </w:style>
  <w:style w:type="paragraph" w:styleId="AltBilgi">
    <w:name w:val="footer"/>
    <w:basedOn w:val="Normal"/>
    <w:link w:val="AltBilgiChar"/>
    <w:uiPriority w:val="99"/>
    <w:unhideWhenUsed/>
    <w:rsid w:val="005B3A56"/>
    <w:pPr>
      <w:tabs>
        <w:tab w:val="center" w:pos="4513"/>
        <w:tab w:val="right" w:pos="9026"/>
      </w:tabs>
    </w:pPr>
  </w:style>
  <w:style w:type="character" w:customStyle="1" w:styleId="AltBilgiChar">
    <w:name w:val="Alt Bilgi Char"/>
    <w:basedOn w:val="VarsaylanParagrafYazTipi"/>
    <w:link w:val="AltBilgi"/>
    <w:uiPriority w:val="99"/>
    <w:rsid w:val="005B3A56"/>
    <w:rPr>
      <w:rFonts w:ascii="Tw Cen MT" w:eastAsia="Tw Cen MT" w:hAnsi="Tw Cen MT" w:cs="Tw Cen MT"/>
    </w:rPr>
  </w:style>
  <w:style w:type="paragraph" w:styleId="BalonMetni">
    <w:name w:val="Balloon Text"/>
    <w:basedOn w:val="Normal"/>
    <w:link w:val="BalonMetniChar"/>
    <w:uiPriority w:val="99"/>
    <w:semiHidden/>
    <w:unhideWhenUsed/>
    <w:rsid w:val="004F3523"/>
    <w:rPr>
      <w:rFonts w:ascii="Tahoma" w:hAnsi="Tahoma" w:cs="Tahoma"/>
      <w:sz w:val="16"/>
      <w:szCs w:val="16"/>
    </w:rPr>
  </w:style>
  <w:style w:type="character" w:customStyle="1" w:styleId="BalonMetniChar">
    <w:name w:val="Balon Metni Char"/>
    <w:basedOn w:val="VarsaylanParagrafYazTipi"/>
    <w:link w:val="BalonMetni"/>
    <w:uiPriority w:val="99"/>
    <w:semiHidden/>
    <w:rsid w:val="004F3523"/>
    <w:rPr>
      <w:rFonts w:ascii="Tahoma" w:eastAsia="Tw Cen MT" w:hAnsi="Tahoma" w:cs="Tahoma"/>
      <w:sz w:val="16"/>
      <w:szCs w:val="16"/>
    </w:rPr>
  </w:style>
  <w:style w:type="character" w:styleId="Kpr">
    <w:name w:val="Hyperlink"/>
    <w:basedOn w:val="VarsaylanParagrafYazTipi"/>
    <w:uiPriority w:val="99"/>
    <w:unhideWhenUsed/>
    <w:rsid w:val="008756E6"/>
    <w:rPr>
      <w:color w:val="0000FF" w:themeColor="hyperlink"/>
      <w:u w:val="single"/>
    </w:rPr>
  </w:style>
  <w:style w:type="character" w:customStyle="1" w:styleId="GvdeMetniChar">
    <w:name w:val="Gövde Metni Char"/>
    <w:basedOn w:val="VarsaylanParagrafYazTipi"/>
    <w:link w:val="GvdeMetni"/>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1638</TotalTime>
  <Pages>1</Pages>
  <Words>496</Words>
  <Characters>2828</Characters>
  <Application>Microsoft Office Word</Application>
  <DocSecurity>0</DocSecurity>
  <Lines>23</Lines>
  <Paragraphs>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sinem örnek</cp:lastModifiedBy>
  <cp:revision>11</cp:revision>
  <dcterms:created xsi:type="dcterms:W3CDTF">2016-08-31T13:10:00Z</dcterms:created>
  <dcterms:modified xsi:type="dcterms:W3CDTF">2022-06-17T16:33:00Z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