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0FE" w:rsidRPr="00A7168F" w:rsidRDefault="00671DDB" w:rsidP="00A7168F">
      <w:pPr>
        <w:pStyle w:val="Heading"/>
        <w:spacing w:before="170" w:line="276" w:lineRule="auto"/>
        <w:ind w:left="0"/>
        <w:rPr>
          <w:rFonts w:ascii="Arial Black" w:eastAsia="Arial Black" w:hAnsi="Arial Black" w:cs="Arial Black"/>
          <w:color w:val="337AB7"/>
          <w:sz w:val="18"/>
          <w:szCs w:val="18"/>
          <w:u w:color="337AB7"/>
        </w:rPr>
      </w:pPr>
      <w:bookmarkStart w:id="0" w:name="_GoBack"/>
      <w:r w:rsidRPr="00A7168F">
        <w:rPr>
          <w:rFonts w:ascii="Arial Black" w:hAnsi="Arial Black"/>
          <w:sz w:val="18"/>
          <w:szCs w:val="18"/>
          <w:u w:color="337AB7"/>
        </w:rPr>
        <w:t xml:space="preserve">Metadichol ® </w:t>
      </w:r>
      <w:r w:rsidRPr="00A7168F">
        <w:rPr>
          <w:rFonts w:ascii="Arial Black" w:hAnsi="Arial Black"/>
          <w:sz w:val="18"/>
          <w:szCs w:val="18"/>
          <w:u w:color="337AB7"/>
          <w:lang w:val="en-US"/>
        </w:rPr>
        <w:t>and Skin diseases.</w:t>
      </w:r>
      <w:r w:rsidR="00A7168F" w:rsidRPr="00A7168F">
        <w:rPr>
          <w:rFonts w:ascii="Arial Black" w:hAnsi="Arial Black"/>
          <w:sz w:val="18"/>
          <w:szCs w:val="18"/>
          <w:u w:color="337AB7"/>
          <w:lang w:val="en-US"/>
        </w:rPr>
        <w:t xml:space="preserve"> A poly</w:t>
      </w:r>
      <w:r w:rsidR="00B82E7E">
        <w:rPr>
          <w:rFonts w:ascii="Arial Black" w:hAnsi="Arial Black"/>
          <w:sz w:val="18"/>
          <w:szCs w:val="18"/>
          <w:u w:color="337AB7"/>
          <w:lang w:val="en-US"/>
        </w:rPr>
        <w:t xml:space="preserve"> </w:t>
      </w:r>
      <w:r w:rsidR="00186652">
        <w:rPr>
          <w:rFonts w:ascii="Arial Black" w:hAnsi="Arial Black"/>
          <w:sz w:val="18"/>
          <w:szCs w:val="18"/>
          <w:u w:color="337AB7"/>
          <w:lang w:val="en-US"/>
        </w:rPr>
        <w:t>pharmacological approach. O</w:t>
      </w:r>
      <w:r w:rsidRPr="00A7168F">
        <w:rPr>
          <w:rFonts w:ascii="Arial Black" w:hAnsi="Arial Black"/>
          <w:sz w:val="18"/>
          <w:szCs w:val="18"/>
          <w:u w:color="337AB7"/>
          <w:lang w:val="en-US"/>
        </w:rPr>
        <w:t>ne Process many possible cures</w:t>
      </w:r>
    </w:p>
    <w:bookmarkEnd w:id="0"/>
    <w:p w:rsidR="00A060FE" w:rsidRDefault="00671DDB" w:rsidP="00A7168F">
      <w:pPr>
        <w:pStyle w:val="Body"/>
        <w:spacing w:line="276" w:lineRule="auto"/>
        <w:jc w:val="both"/>
        <w:rPr>
          <w:b/>
          <w:bCs/>
          <w:sz w:val="18"/>
          <w:szCs w:val="18"/>
        </w:rPr>
      </w:pPr>
      <w:r>
        <w:rPr>
          <w:b/>
          <w:bCs/>
          <w:sz w:val="18"/>
          <w:szCs w:val="18"/>
        </w:rPr>
        <w:t>Dr P.R. Raghavan</w:t>
      </w:r>
    </w:p>
    <w:p w:rsidR="00A060FE" w:rsidRDefault="00671DDB" w:rsidP="00A7168F">
      <w:pPr>
        <w:pStyle w:val="Body"/>
        <w:spacing w:line="276" w:lineRule="auto"/>
        <w:jc w:val="both"/>
        <w:rPr>
          <w:b/>
          <w:bCs/>
          <w:sz w:val="18"/>
          <w:szCs w:val="18"/>
        </w:rPr>
      </w:pPr>
      <w:r>
        <w:rPr>
          <w:b/>
          <w:bCs/>
          <w:sz w:val="18"/>
          <w:szCs w:val="18"/>
        </w:rPr>
        <w:t>Nano</w:t>
      </w:r>
      <w:r w:rsidR="00CA0120">
        <w:rPr>
          <w:b/>
          <w:bCs/>
          <w:sz w:val="18"/>
          <w:szCs w:val="18"/>
        </w:rPr>
        <w:t>R</w:t>
      </w:r>
      <w:r>
        <w:rPr>
          <w:b/>
          <w:bCs/>
          <w:sz w:val="18"/>
          <w:szCs w:val="18"/>
        </w:rPr>
        <w:t>x Inc, PO Box 131, Chappaqua, Ny 10514 USA</w:t>
      </w:r>
    </w:p>
    <w:p w:rsidR="00A060FE" w:rsidRDefault="00A060FE" w:rsidP="00A7168F">
      <w:pPr>
        <w:pStyle w:val="Body"/>
        <w:spacing w:line="276" w:lineRule="auto"/>
        <w:sectPr w:rsidR="00A060FE">
          <w:headerReference w:type="default" r:id="rId7"/>
          <w:footerReference w:type="default" r:id="rId8"/>
          <w:pgSz w:w="11920" w:h="16840"/>
          <w:pgMar w:top="720" w:right="380" w:bottom="360" w:left="620" w:header="541" w:footer="642" w:gutter="0"/>
          <w:cols w:space="720"/>
        </w:sectPr>
      </w:pPr>
    </w:p>
    <w:p w:rsidR="00A060FE" w:rsidRDefault="00A7168F" w:rsidP="00A7168F">
      <w:pPr>
        <w:pStyle w:val="Heading3"/>
        <w:spacing w:before="147" w:line="276" w:lineRule="auto"/>
        <w:ind w:left="0"/>
        <w:jc w:val="both"/>
        <w:rPr>
          <w:color w:val="BF5A14"/>
          <w:sz w:val="18"/>
          <w:szCs w:val="18"/>
          <w:u w:color="BF5A14"/>
        </w:rPr>
      </w:pPr>
      <w:r>
        <w:rPr>
          <w:noProof/>
        </w:rPr>
        <w:drawing>
          <wp:anchor distT="0" distB="0" distL="0" distR="0" simplePos="0" relativeHeight="251659264" behindDoc="0" locked="0" layoutInCell="1" allowOverlap="1">
            <wp:simplePos x="0" y="0"/>
            <wp:positionH relativeFrom="page">
              <wp:posOffset>3791415</wp:posOffset>
            </wp:positionH>
            <wp:positionV relativeFrom="page">
              <wp:posOffset>1159648</wp:posOffset>
            </wp:positionV>
            <wp:extent cx="3669665" cy="4449337"/>
            <wp:effectExtent l="12700" t="12700" r="13335" b="8890"/>
            <wp:wrapSquare wrapText="bothSides" distT="0" distB="0" distL="0" distR="0"/>
            <wp:docPr id="1073741826" name="officeArt object" descr="Screen Shot 2018-01-13 at 12.26.28 PM.png"/>
            <wp:cNvGraphicFramePr/>
            <a:graphic xmlns:a="http://schemas.openxmlformats.org/drawingml/2006/main">
              <a:graphicData uri="http://schemas.openxmlformats.org/drawingml/2006/picture">
                <pic:pic xmlns:pic="http://schemas.openxmlformats.org/drawingml/2006/picture">
                  <pic:nvPicPr>
                    <pic:cNvPr id="1073741826" name="Screen Shot 2018-01-13 at 12.26.28 PM.png" descr="Screen Shot 2018-01-13 at 12.26.28 PM.png"/>
                    <pic:cNvPicPr>
                      <a:picLocks noChangeAspect="1"/>
                    </pic:cNvPicPr>
                  </pic:nvPicPr>
                  <pic:blipFill>
                    <a:blip r:embed="rId9">
                      <a:extLst/>
                    </a:blip>
                    <a:stretch>
                      <a:fillRect/>
                    </a:stretch>
                  </pic:blipFill>
                  <pic:spPr>
                    <a:xfrm>
                      <a:off x="0" y="0"/>
                      <a:ext cx="3679102" cy="4460779"/>
                    </a:xfrm>
                    <a:prstGeom prst="rect">
                      <a:avLst/>
                    </a:prstGeom>
                    <a:ln w="12700" cap="flat">
                      <a:solidFill>
                        <a:srgbClr val="000000"/>
                      </a:solidFill>
                      <a:prstDash val="solid"/>
                      <a:miter lim="400000"/>
                    </a:ln>
                    <a:effectLst/>
                  </pic:spPr>
                </pic:pic>
              </a:graphicData>
            </a:graphic>
            <wp14:sizeRelV relativeFrom="margin">
              <wp14:pctHeight>0</wp14:pctHeight>
            </wp14:sizeRelV>
          </wp:anchor>
        </w:drawing>
      </w:r>
      <w:r w:rsidR="00671DDB">
        <w:rPr>
          <w:color w:val="BF5A14"/>
          <w:sz w:val="18"/>
          <w:szCs w:val="18"/>
          <w:u w:color="BF5A14"/>
        </w:rPr>
        <w:t>Abstract</w:t>
      </w:r>
    </w:p>
    <w:p w:rsidR="00A060FE" w:rsidRDefault="00671DDB" w:rsidP="00A7168F">
      <w:pPr>
        <w:pStyle w:val="Default"/>
        <w:spacing w:line="276" w:lineRule="auto"/>
        <w:rPr>
          <w:rFonts w:ascii="Times" w:eastAsia="Times" w:hAnsi="Times" w:cs="Times"/>
          <w:sz w:val="18"/>
          <w:szCs w:val="18"/>
        </w:rPr>
      </w:pPr>
      <w:r>
        <w:rPr>
          <w:rFonts w:ascii="Times" w:hAnsi="Times"/>
          <w:sz w:val="18"/>
          <w:szCs w:val="18"/>
        </w:rPr>
        <w:t xml:space="preserve">The skin is the largest organ of the body that fulfills multiple essential tasks. It forms the boundary between the inside and outside.  It protects against mechanical and chemical threats, it provides innate and adaptive immune defenses, it enables thermoregulation and vitamin D production, and it acts </w:t>
      </w:r>
      <w:r w:rsidR="00A7168F">
        <w:rPr>
          <w:rFonts w:ascii="Times" w:hAnsi="Times"/>
          <w:sz w:val="18"/>
          <w:szCs w:val="18"/>
        </w:rPr>
        <w:t xml:space="preserve">as the sensory organ of touch. </w:t>
      </w:r>
      <w:r>
        <w:rPr>
          <w:rFonts w:ascii="Times" w:hAnsi="Times"/>
          <w:sz w:val="18"/>
          <w:szCs w:val="18"/>
        </w:rPr>
        <w:t xml:space="preserve">Skin disease are a significant cause of global disease burden, affecting millions of people worldwide.   There are more than 3000 known diseases of the skin.  Aging, environmental and genetic factors, and trauma can result in the development of a diverse set of skin diseases. </w:t>
      </w:r>
    </w:p>
    <w:p w:rsidR="00A060FE" w:rsidRDefault="00A060FE" w:rsidP="00A7168F">
      <w:pPr>
        <w:pStyle w:val="Default"/>
        <w:spacing w:line="276" w:lineRule="auto"/>
        <w:rPr>
          <w:rFonts w:ascii="Times New Roman" w:eastAsia="Times New Roman" w:hAnsi="Times New Roman" w:cs="Times New Roman"/>
          <w:sz w:val="18"/>
          <w:szCs w:val="18"/>
          <w:shd w:val="clear" w:color="auto" w:fill="FFFFFF"/>
          <w:lang w:val="es-ES_tradnl"/>
        </w:rPr>
      </w:pPr>
    </w:p>
    <w:p w:rsidR="00A060FE" w:rsidRDefault="00671DDB" w:rsidP="00A7168F">
      <w:pPr>
        <w:pStyle w:val="Default"/>
        <w:spacing w:line="276" w:lineRule="auto"/>
        <w:rPr>
          <w:rFonts w:ascii="Times New Roman" w:eastAsia="Times New Roman" w:hAnsi="Times New Roman" w:cs="Times New Roman"/>
          <w:sz w:val="18"/>
          <w:szCs w:val="18"/>
          <w:shd w:val="clear" w:color="auto" w:fill="FFFFFF"/>
        </w:rPr>
      </w:pPr>
      <w:r>
        <w:rPr>
          <w:rFonts w:ascii="Times New Roman" w:hAnsi="Times New Roman"/>
          <w:sz w:val="18"/>
          <w:szCs w:val="18"/>
          <w:shd w:val="clear" w:color="auto" w:fill="FFFFFF"/>
          <w:lang w:val="es-ES_tradnl"/>
        </w:rPr>
        <w:t xml:space="preserve">Metadichol </w:t>
      </w:r>
      <w:r w:rsidR="00FA6841">
        <w:rPr>
          <w:rFonts w:ascii="Times New Roman" w:hAnsi="Times New Roman"/>
          <w:sz w:val="18"/>
          <w:szCs w:val="18"/>
          <w:shd w:val="clear" w:color="auto" w:fill="FFFFFF"/>
        </w:rPr>
        <w:t>® a Nano formulation</w:t>
      </w:r>
      <w:r>
        <w:rPr>
          <w:rFonts w:ascii="Times New Roman" w:hAnsi="Times New Roman"/>
          <w:sz w:val="18"/>
          <w:szCs w:val="18"/>
          <w:shd w:val="clear" w:color="auto" w:fill="FFFFFF"/>
        </w:rPr>
        <w:t xml:space="preserve"> of long-chain lipid alcohols derived from food It is a inverse agonist of Vitamin D receptor (VDR), Aryl hydrocarbon receptor (AHR), and Ror game (RORC) that could have beneficial effects on skin diseases. We now present case studies of patents with various skin disease show Metadichol is an inverse agonist of these named nuclear receptors thus modulating Th1 pathway towards </w:t>
      </w:r>
    </w:p>
    <w:p w:rsidR="00A060FE" w:rsidRDefault="00671DDB" w:rsidP="00A7168F">
      <w:pPr>
        <w:pStyle w:val="Default"/>
        <w:spacing w:line="276" w:lineRule="auto"/>
        <w:rPr>
          <w:rFonts w:ascii="Times New Roman" w:eastAsia="Times New Roman" w:hAnsi="Times New Roman" w:cs="Times New Roman"/>
          <w:sz w:val="18"/>
          <w:szCs w:val="18"/>
          <w:shd w:val="clear" w:color="auto" w:fill="FFFFFF"/>
        </w:rPr>
      </w:pPr>
      <w:r>
        <w:rPr>
          <w:rFonts w:ascii="Times New Roman" w:hAnsi="Times New Roman"/>
          <w:sz w:val="18"/>
          <w:szCs w:val="18"/>
          <w:shd w:val="clear" w:color="auto" w:fill="FFFFFF"/>
        </w:rPr>
        <w:t>a TH2 and Th 17 and IL 17 and IL22.and also being a T</w:t>
      </w:r>
      <w:r>
        <w:rPr>
          <w:rFonts w:ascii="Times New Roman" w:hAnsi="Times New Roman"/>
          <w:sz w:val="18"/>
          <w:szCs w:val="18"/>
          <w:shd w:val="clear" w:color="auto" w:fill="FFFFFF"/>
          <w:lang w:val="es-ES_tradnl"/>
        </w:rPr>
        <w:t xml:space="preserve">NF alpha inhibitor </w:t>
      </w:r>
      <w:r w:rsidR="00A7168F">
        <w:rPr>
          <w:rFonts w:ascii="Times New Roman" w:hAnsi="Times New Roman"/>
          <w:sz w:val="18"/>
          <w:szCs w:val="18"/>
          <w:shd w:val="clear" w:color="auto" w:fill="FFFFFF"/>
        </w:rPr>
        <w:t xml:space="preserve">can modulate IL23 </w:t>
      </w:r>
      <w:r>
        <w:rPr>
          <w:rFonts w:ascii="Times New Roman" w:hAnsi="Times New Roman"/>
          <w:sz w:val="18"/>
          <w:szCs w:val="18"/>
          <w:shd w:val="clear" w:color="auto" w:fill="FFFFFF"/>
        </w:rPr>
        <w:t>thus blocking the major</w:t>
      </w:r>
      <w:r w:rsidR="00A7168F">
        <w:rPr>
          <w:rFonts w:ascii="Times New Roman" w:hAnsi="Times New Roman"/>
          <w:sz w:val="18"/>
          <w:szCs w:val="18"/>
          <w:shd w:val="clear" w:color="auto" w:fill="FFFFFF"/>
        </w:rPr>
        <w:t xml:space="preserve"> </w:t>
      </w:r>
      <w:r>
        <w:rPr>
          <w:rFonts w:ascii="Times New Roman" w:hAnsi="Times New Roman"/>
          <w:sz w:val="18"/>
          <w:szCs w:val="18"/>
          <w:shd w:val="clear" w:color="auto" w:fill="FFFFFF"/>
        </w:rPr>
        <w:t xml:space="preserve">pathways that exacerbate many Skin diseases. </w:t>
      </w:r>
    </w:p>
    <w:p w:rsidR="00A060FE" w:rsidRDefault="00A060FE" w:rsidP="00A7168F">
      <w:pPr>
        <w:pStyle w:val="Default"/>
        <w:spacing w:line="276" w:lineRule="auto"/>
        <w:rPr>
          <w:rFonts w:ascii="Times New Roman" w:eastAsia="Times New Roman" w:hAnsi="Times New Roman" w:cs="Times New Roman"/>
          <w:sz w:val="18"/>
          <w:szCs w:val="18"/>
          <w:shd w:val="clear" w:color="auto" w:fill="FFFFFF"/>
        </w:rPr>
      </w:pPr>
    </w:p>
    <w:p w:rsidR="00A060FE" w:rsidRDefault="00671DDB" w:rsidP="00A7168F">
      <w:pPr>
        <w:pStyle w:val="Default"/>
        <w:spacing w:line="276" w:lineRule="auto"/>
        <w:rPr>
          <w:rFonts w:ascii="Times New Roman" w:eastAsia="Times New Roman" w:hAnsi="Times New Roman" w:cs="Times New Roman"/>
          <w:sz w:val="18"/>
          <w:szCs w:val="18"/>
          <w:shd w:val="clear" w:color="auto" w:fill="FFFFFF"/>
        </w:rPr>
      </w:pPr>
      <w:r>
        <w:rPr>
          <w:rFonts w:ascii="Times New Roman" w:hAnsi="Times New Roman"/>
          <w:sz w:val="18"/>
          <w:szCs w:val="18"/>
          <w:shd w:val="clear" w:color="auto" w:fill="FFFFFF"/>
        </w:rPr>
        <w:t>Metadichol is the first molecule to successfully navigate around the problems involved with promiscuous ligands and targets. It fulfills the goals of the emerging field of Poly</w:t>
      </w:r>
      <w:r w:rsidR="00A7168F">
        <w:rPr>
          <w:rFonts w:ascii="Times New Roman" w:hAnsi="Times New Roman"/>
          <w:sz w:val="18"/>
          <w:szCs w:val="18"/>
          <w:shd w:val="clear" w:color="auto" w:fill="FFFFFF"/>
        </w:rPr>
        <w:t>ph</w:t>
      </w:r>
      <w:r>
        <w:rPr>
          <w:rFonts w:ascii="Times New Roman" w:hAnsi="Times New Roman"/>
          <w:sz w:val="18"/>
          <w:szCs w:val="18"/>
          <w:shd w:val="clear" w:color="auto" w:fill="FFFFFF"/>
        </w:rPr>
        <w:t xml:space="preserve">rmacology, ie a single drug is able to bind to multiple targets beyond the "one drug, one target" philosophy. We show how Metadichol is </w:t>
      </w:r>
      <w:r>
        <w:rPr>
          <w:rFonts w:ascii="Times New Roman" w:hAnsi="Times New Roman"/>
          <w:sz w:val="18"/>
          <w:szCs w:val="18"/>
          <w:shd w:val="clear" w:color="auto" w:fill="FFFFFF"/>
          <w:lang w:val="it-IT"/>
        </w:rPr>
        <w:t xml:space="preserve">an innovative </w:t>
      </w:r>
      <w:r>
        <w:rPr>
          <w:rFonts w:ascii="Times New Roman" w:hAnsi="Times New Roman"/>
          <w:sz w:val="18"/>
          <w:szCs w:val="18"/>
          <w:shd w:val="clear" w:color="auto" w:fill="FFFFFF"/>
        </w:rPr>
        <w:t xml:space="preserve">treatment or treating multiple skin diseases like eczema, acne, diabetic wounds and viral and bacterial infection and also improving skin texture. </w:t>
      </w:r>
      <w:r>
        <w:rPr>
          <w:rFonts w:ascii="Times New Roman" w:hAnsi="Times New Roman"/>
          <w:sz w:val="18"/>
          <w:szCs w:val="18"/>
          <w:shd w:val="clear" w:color="auto" w:fill="FFFFFF"/>
          <w:lang w:val="es-ES_tradnl"/>
        </w:rPr>
        <w:t>Metadichol</w:t>
      </w:r>
      <w:r>
        <w:rPr>
          <w:rFonts w:ascii="Times New Roman" w:hAnsi="Times New Roman"/>
          <w:sz w:val="18"/>
          <w:szCs w:val="18"/>
          <w:shd w:val="clear" w:color="auto" w:fill="FFFFFF"/>
        </w:rPr>
        <w:t xml:space="preserve"> ® is a safe </w:t>
      </w:r>
      <w:r>
        <w:rPr>
          <w:rFonts w:ascii="Times New Roman" w:hAnsi="Times New Roman"/>
          <w:sz w:val="18"/>
          <w:szCs w:val="18"/>
          <w:shd w:val="clear" w:color="auto" w:fill="FFFFFF"/>
          <w:lang w:val="it-IT"/>
        </w:rPr>
        <w:t>non</w:t>
      </w:r>
      <w:r>
        <w:rPr>
          <w:rFonts w:ascii="Times New Roman" w:hAnsi="Times New Roman"/>
          <w:sz w:val="18"/>
          <w:szCs w:val="18"/>
          <w:shd w:val="clear" w:color="auto" w:fill="FFFFFF"/>
        </w:rPr>
        <w:t xml:space="preserve"> </w:t>
      </w:r>
      <w:r>
        <w:rPr>
          <w:rFonts w:ascii="Times New Roman" w:hAnsi="Times New Roman"/>
          <w:sz w:val="18"/>
          <w:szCs w:val="18"/>
          <w:shd w:val="clear" w:color="auto" w:fill="FFFFFF"/>
          <w:lang w:val="pt-PT"/>
        </w:rPr>
        <w:t>toxic</w:t>
      </w:r>
      <w:r>
        <w:rPr>
          <w:rFonts w:ascii="Times New Roman" w:hAnsi="Times New Roman"/>
          <w:sz w:val="18"/>
          <w:szCs w:val="18"/>
          <w:shd w:val="clear" w:color="auto" w:fill="FFFFFF"/>
        </w:rPr>
        <w:t xml:space="preserve"> low cost solution and is an alternative to numerous clinical candidates in combating over 3000 skin diseases. </w:t>
      </w:r>
    </w:p>
    <w:p w:rsidR="00A060FE" w:rsidRDefault="00A060FE" w:rsidP="00A7168F">
      <w:pPr>
        <w:pStyle w:val="Default"/>
        <w:spacing w:line="276" w:lineRule="auto"/>
        <w:rPr>
          <w:rFonts w:ascii="Times New Roman" w:eastAsia="Times New Roman" w:hAnsi="Times New Roman" w:cs="Times New Roman"/>
          <w:sz w:val="18"/>
          <w:szCs w:val="18"/>
          <w:shd w:val="clear" w:color="auto" w:fill="FFFFFF"/>
        </w:rPr>
      </w:pPr>
    </w:p>
    <w:p w:rsidR="00A060FE" w:rsidRDefault="00671DDB" w:rsidP="00A7168F">
      <w:pPr>
        <w:pStyle w:val="Default"/>
        <w:spacing w:line="276" w:lineRule="auto"/>
        <w:rPr>
          <w:rFonts w:ascii="Times New Roman" w:eastAsia="Times New Roman" w:hAnsi="Times New Roman" w:cs="Times New Roman"/>
          <w:sz w:val="18"/>
          <w:szCs w:val="18"/>
          <w:shd w:val="clear" w:color="auto" w:fill="FFFFFF"/>
        </w:rPr>
      </w:pPr>
      <w:r>
        <w:rPr>
          <w:rFonts w:ascii="Times New Roman" w:hAnsi="Times New Roman"/>
          <w:sz w:val="18"/>
          <w:szCs w:val="18"/>
          <w:shd w:val="clear" w:color="auto" w:fill="FFFFFF"/>
        </w:rPr>
        <w:t>Biography</w:t>
      </w:r>
    </w:p>
    <w:p w:rsidR="00A060FE" w:rsidRDefault="00A7168F" w:rsidP="00A7168F">
      <w:pPr>
        <w:pStyle w:val="Default"/>
        <w:spacing w:line="276" w:lineRule="auto"/>
        <w:rPr>
          <w:rFonts w:ascii="Times New Roman" w:eastAsia="Times New Roman" w:hAnsi="Times New Roman" w:cs="Times New Roman"/>
          <w:sz w:val="18"/>
          <w:szCs w:val="18"/>
          <w:shd w:val="clear" w:color="auto" w:fill="FFFFFF"/>
        </w:rPr>
      </w:pPr>
      <w:r>
        <w:rPr>
          <w:noProof/>
        </w:rPr>
        <w:drawing>
          <wp:anchor distT="0" distB="0" distL="0" distR="0" simplePos="0" relativeHeight="251660288" behindDoc="0" locked="0" layoutInCell="1" allowOverlap="1">
            <wp:simplePos x="0" y="0"/>
            <wp:positionH relativeFrom="page">
              <wp:posOffset>2018370</wp:posOffset>
            </wp:positionH>
            <wp:positionV relativeFrom="page">
              <wp:posOffset>6333815</wp:posOffset>
            </wp:positionV>
            <wp:extent cx="1345983" cy="555625"/>
            <wp:effectExtent l="0" t="0" r="635" b="3175"/>
            <wp:wrapSquare wrapText="bothSides" distT="0" distB="0" distL="0" distR="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4.png"/>
                    <pic:cNvPicPr>
                      <a:picLocks noChangeAspect="1"/>
                    </pic:cNvPicPr>
                  </pic:nvPicPr>
                  <pic:blipFill>
                    <a:blip r:embed="rId10">
                      <a:extLst/>
                    </a:blip>
                    <a:stretch>
                      <a:fillRect/>
                    </a:stretch>
                  </pic:blipFill>
                  <pic:spPr>
                    <a:xfrm>
                      <a:off x="0" y="0"/>
                      <a:ext cx="1345983" cy="555625"/>
                    </a:xfrm>
                    <a:prstGeom prst="rect">
                      <a:avLst/>
                    </a:prstGeom>
                    <a:ln w="12700" cap="flat">
                      <a:noFill/>
                      <a:miter lim="400000"/>
                    </a:ln>
                    <a:effectLst/>
                  </pic:spPr>
                </pic:pic>
              </a:graphicData>
            </a:graphic>
            <wp14:sizeRelH relativeFrom="margin">
              <wp14:pctWidth>0</wp14:pctWidth>
            </wp14:sizeRelH>
          </wp:anchor>
        </w:drawing>
      </w:r>
      <w:r w:rsidR="00671DDB">
        <w:rPr>
          <w:rFonts w:ascii="Times New Roman" w:eastAsia="Times New Roman" w:hAnsi="Times New Roman" w:cs="Times New Roman"/>
          <w:noProof/>
        </w:rPr>
        <w:drawing>
          <wp:inline distT="0" distB="0" distL="0" distR="0">
            <wp:extent cx="1274922" cy="1250204"/>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11">
                      <a:extLst/>
                    </a:blip>
                    <a:stretch>
                      <a:fillRect/>
                    </a:stretch>
                  </pic:blipFill>
                  <pic:spPr>
                    <a:xfrm>
                      <a:off x="0" y="0"/>
                      <a:ext cx="1274922" cy="1250204"/>
                    </a:xfrm>
                    <a:prstGeom prst="rect">
                      <a:avLst/>
                    </a:prstGeom>
                    <a:ln w="12700" cap="flat">
                      <a:noFill/>
                      <a:miter lim="400000"/>
                    </a:ln>
                    <a:effectLst/>
                  </pic:spPr>
                </pic:pic>
              </a:graphicData>
            </a:graphic>
          </wp:inline>
        </w:drawing>
      </w:r>
    </w:p>
    <w:p w:rsidR="00A060FE" w:rsidRDefault="00A060FE"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p>
    <w:p w:rsidR="00A060FE" w:rsidRDefault="00A060FE"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p>
    <w:p w:rsidR="00A060FE" w:rsidRDefault="00671DDB"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r>
        <w:rPr>
          <w:rFonts w:ascii="Times New Roman" w:hAnsi="Times New Roman"/>
          <w:sz w:val="18"/>
          <w:szCs w:val="18"/>
        </w:rPr>
        <w:t>CEO of Nanorx INC has a Ph.D. in Organic Chemistry from</w:t>
      </w:r>
      <w:r w:rsidR="00FA6841">
        <w:rPr>
          <w:rFonts w:ascii="Times New Roman" w:hAnsi="Times New Roman"/>
          <w:sz w:val="18"/>
          <w:szCs w:val="18"/>
        </w:rPr>
        <w:t xml:space="preserve"> Oregon State University(1979) and </w:t>
      </w:r>
      <w:r>
        <w:rPr>
          <w:rFonts w:ascii="Times New Roman" w:hAnsi="Times New Roman"/>
          <w:sz w:val="18"/>
          <w:szCs w:val="18"/>
        </w:rPr>
        <w:t>M.S in Chemistry(1972) from I.I.T Mumbai, India.</w:t>
      </w:r>
      <w:r w:rsidR="00FA6841">
        <w:rPr>
          <w:rFonts w:ascii="Times New Roman" w:hAnsi="Times New Roman"/>
          <w:sz w:val="18"/>
          <w:szCs w:val="18"/>
        </w:rPr>
        <w:t xml:space="preserve"> </w:t>
      </w:r>
      <w:r>
        <w:rPr>
          <w:rFonts w:ascii="Times New Roman" w:hAnsi="Times New Roman"/>
          <w:sz w:val="18"/>
          <w:szCs w:val="18"/>
        </w:rPr>
        <w:t xml:space="preserve">He has worked on drug discovery for over 25 years at Columbia University, Max-Planck Institute, Germany, Ciba-Geigy (now Novartis) and Boehringer Ingelheim. He has over </w:t>
      </w:r>
      <w:r w:rsidR="00FA6841">
        <w:rPr>
          <w:rFonts w:ascii="Times New Roman" w:hAnsi="Times New Roman"/>
          <w:sz w:val="18"/>
          <w:szCs w:val="18"/>
        </w:rPr>
        <w:t>25</w:t>
      </w:r>
      <w:r>
        <w:rPr>
          <w:rFonts w:ascii="Times New Roman" w:hAnsi="Times New Roman"/>
          <w:sz w:val="18"/>
          <w:szCs w:val="18"/>
        </w:rPr>
        <w:t xml:space="preserve"> US and International patents and another 15 pending patent applications.</w:t>
      </w:r>
    </w:p>
    <w:p w:rsidR="00A060FE" w:rsidRDefault="00671DDB"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r>
        <w:rPr>
          <w:rFonts w:ascii="Times New Roman" w:hAnsi="Times New Roman"/>
          <w:sz w:val="18"/>
          <w:szCs w:val="18"/>
        </w:rPr>
        <w:t xml:space="preserve">Linked In account: </w:t>
      </w:r>
      <w:r>
        <w:rPr>
          <w:rFonts w:ascii="Times New Roman" w:hAnsi="Times New Roman"/>
          <w:color w:val="424445"/>
          <w:sz w:val="18"/>
          <w:szCs w:val="18"/>
          <w:u w:color="424445"/>
        </w:rPr>
        <w:t>www.linkedin.com/in/</w:t>
      </w:r>
      <w:r>
        <w:rPr>
          <w:rFonts w:ascii="Times New Roman" w:hAnsi="Times New Roman"/>
          <w:sz w:val="18"/>
          <w:szCs w:val="18"/>
        </w:rPr>
        <w:t>palayakotai-raghavan-9327304</w:t>
      </w:r>
    </w:p>
    <w:p w:rsidR="00A060FE" w:rsidRDefault="00671DDB"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r>
        <w:rPr>
          <w:rFonts w:ascii="Times New Roman" w:hAnsi="Times New Roman"/>
          <w:sz w:val="18"/>
          <w:szCs w:val="18"/>
        </w:rPr>
        <w:t xml:space="preserve">email; </w:t>
      </w:r>
      <w:hyperlink r:id="rId12" w:history="1">
        <w:r>
          <w:rPr>
            <w:rStyle w:val="Hyperlink0"/>
          </w:rPr>
          <w:t>raghavan@nanorxinc.com</w:t>
        </w:r>
      </w:hyperlink>
    </w:p>
    <w:p w:rsidR="00A060FE" w:rsidRDefault="00671DDB" w:rsidP="00A7168F">
      <w:pPr>
        <w:pStyle w:val="Body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Times New Roman" w:eastAsia="Times New Roman" w:hAnsi="Times New Roman" w:cs="Times New Roman"/>
          <w:sz w:val="18"/>
          <w:szCs w:val="18"/>
        </w:rPr>
      </w:pPr>
      <w:r>
        <w:rPr>
          <w:rFonts w:ascii="Times New Roman" w:hAnsi="Times New Roman"/>
          <w:sz w:val="18"/>
          <w:szCs w:val="18"/>
        </w:rPr>
        <w:t>Contactnumber:001-914-671-0224</w:t>
      </w:r>
      <w:r>
        <w:rPr>
          <w:rFonts w:ascii="Arial Unicode MS" w:hAnsi="Arial Unicode MS"/>
          <w:sz w:val="18"/>
          <w:szCs w:val="18"/>
        </w:rPr>
        <w:t xml:space="preserve"> </w:t>
      </w:r>
      <w:r>
        <w:rPr>
          <w:rFonts w:ascii="Arial Unicode MS" w:hAnsi="Arial Unicode MS"/>
          <w:sz w:val="18"/>
          <w:szCs w:val="18"/>
        </w:rPr>
        <w:br/>
      </w:r>
    </w:p>
    <w:p w:rsidR="00A060FE" w:rsidRDefault="00A060FE" w:rsidP="00A7168F">
      <w:pPr>
        <w:pStyle w:val="Heading3"/>
        <w:spacing w:before="74" w:line="276" w:lineRule="auto"/>
        <w:ind w:left="0"/>
        <w:rPr>
          <w:rFonts w:ascii="Times New Roman" w:eastAsia="Times New Roman" w:hAnsi="Times New Roman" w:cs="Times New Roman"/>
          <w:sz w:val="18"/>
          <w:szCs w:val="18"/>
        </w:rPr>
      </w:pPr>
    </w:p>
    <w:p w:rsidR="00A060FE" w:rsidRDefault="00A060FE" w:rsidP="00A7168F">
      <w:pPr>
        <w:pStyle w:val="Heading3"/>
        <w:spacing w:before="74" w:line="276" w:lineRule="auto"/>
        <w:ind w:left="0"/>
        <w:rPr>
          <w:rFonts w:ascii="Times New Roman" w:eastAsia="Times New Roman" w:hAnsi="Times New Roman" w:cs="Times New Roman"/>
        </w:rPr>
      </w:pPr>
    </w:p>
    <w:p w:rsidR="00A060FE" w:rsidRDefault="00671DDB" w:rsidP="00A7168F">
      <w:pPr>
        <w:pStyle w:val="Heading3"/>
        <w:spacing w:before="74" w:line="276" w:lineRule="auto"/>
        <w:ind w:left="0"/>
        <w:rPr>
          <w:color w:val="BF5A14"/>
          <w:sz w:val="18"/>
          <w:szCs w:val="18"/>
          <w:u w:color="BF5A14"/>
        </w:rPr>
      </w:pPr>
      <w:r>
        <w:rPr>
          <w:color w:val="BF5A14"/>
          <w:sz w:val="18"/>
          <w:szCs w:val="18"/>
          <w:u w:color="BF5A14"/>
          <w:lang w:val="en-US"/>
        </w:rPr>
        <w:t>Recent Publications</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rPr>
      </w:pPr>
      <w:r>
        <w:rPr>
          <w:rFonts w:ascii="Times New Roman" w:hAnsi="Times New Roman"/>
          <w:sz w:val="18"/>
          <w:szCs w:val="18"/>
        </w:rPr>
        <w:t>Raghavan, P.R, US Patents: 8,722,093 (2014); 9,034,383 (2015) ; 9,006,292 (2015)</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es-ES_tradnl"/>
        </w:rPr>
      </w:pPr>
      <w:r>
        <w:rPr>
          <w:rFonts w:ascii="Times New Roman" w:hAnsi="Times New Roman"/>
          <w:sz w:val="18"/>
          <w:szCs w:val="18"/>
          <w:lang w:val="es-ES_tradnl"/>
        </w:rPr>
        <w:t>Raghavan PR (2018) Metadichol</w:t>
      </w:r>
      <w:r>
        <w:rPr>
          <w:rFonts w:ascii="Times New Roman" w:hAnsi="Times New Roman"/>
          <w:sz w:val="18"/>
          <w:szCs w:val="18"/>
        </w:rPr>
        <w:t xml:space="preserve">® and CD34 Expression in Umbilical Cord Cells. J Stem Cell Res Ther 8: 409. doi: 10.4172/2157-7633.1000409 </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es-ES_tradnl"/>
        </w:rPr>
      </w:pPr>
      <w:r>
        <w:rPr>
          <w:rFonts w:ascii="Times New Roman" w:hAnsi="Times New Roman"/>
          <w:sz w:val="18"/>
          <w:szCs w:val="18"/>
          <w:lang w:val="es-ES_tradnl"/>
        </w:rPr>
        <w:t>Raghavan PR (2018) Metadichol</w:t>
      </w:r>
      <w:r>
        <w:rPr>
          <w:rFonts w:ascii="Times New Roman" w:hAnsi="Times New Roman"/>
          <w:sz w:val="18"/>
          <w:szCs w:val="18"/>
        </w:rPr>
        <w:t>®, Vitamin C and GULO Gene Expression in Mouse Adipocytes. Biol Med (Aligarh) 10: 426. doi 10.4172/0974-8369.1000426.</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it-IT"/>
        </w:rPr>
      </w:pPr>
      <w:r>
        <w:rPr>
          <w:rFonts w:ascii="Times New Roman" w:hAnsi="Times New Roman"/>
          <w:sz w:val="18"/>
          <w:szCs w:val="18"/>
          <w:lang w:val="it-IT"/>
        </w:rPr>
        <w:t>Ra</w:t>
      </w:r>
      <w:r w:rsidR="00FA6841">
        <w:rPr>
          <w:rFonts w:ascii="Times New Roman" w:hAnsi="Times New Roman"/>
          <w:sz w:val="18"/>
          <w:szCs w:val="18"/>
          <w:lang w:val="it-IT"/>
        </w:rPr>
        <w:t>ghavan PR (2017) Metadichol, A n</w:t>
      </w:r>
      <w:r>
        <w:rPr>
          <w:rFonts w:ascii="Times New Roman" w:hAnsi="Times New Roman"/>
          <w:sz w:val="18"/>
          <w:szCs w:val="18"/>
          <w:lang w:val="it-IT"/>
        </w:rPr>
        <w:t>ovel</w:t>
      </w:r>
      <w:r w:rsidR="00FA6841">
        <w:rPr>
          <w:rFonts w:ascii="Times New Roman" w:hAnsi="Times New Roman"/>
          <w:sz w:val="18"/>
          <w:szCs w:val="18"/>
          <w:lang w:val="it-IT"/>
        </w:rPr>
        <w:t xml:space="preserve"> ROR Gamma Inverse Agonist and i</w:t>
      </w:r>
      <w:r>
        <w:rPr>
          <w:rFonts w:ascii="Times New Roman" w:hAnsi="Times New Roman"/>
          <w:sz w:val="18"/>
          <w:szCs w:val="18"/>
          <w:lang w:val="it-IT"/>
        </w:rPr>
        <w:t xml:space="preserve">ts Applications in Psoriasis. J Clin Exp Dermatol Res 8: 433. doi:10.4172/2155-9554.1000433 </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es-ES_tradnl"/>
        </w:rPr>
      </w:pPr>
      <w:r>
        <w:rPr>
          <w:rFonts w:ascii="Times New Roman" w:hAnsi="Times New Roman"/>
          <w:sz w:val="18"/>
          <w:szCs w:val="18"/>
          <w:lang w:val="es-ES_tradnl"/>
        </w:rPr>
        <w:t xml:space="preserve">Raghavan PR (2017); Metadichol </w:t>
      </w:r>
      <w:r>
        <w:rPr>
          <w:rFonts w:ascii="Times New Roman" w:hAnsi="Times New Roman"/>
          <w:sz w:val="18"/>
          <w:szCs w:val="18"/>
        </w:rPr>
        <w:t>®. A Novel Inverse Agonist of Aryl Hydrocarbon Receptor (AHR) and NRF2 Inhibitor. J Cancer Sci Ther 9: 661-668. doi:10.4172/1948-5956.1000489</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es-ES_tradnl"/>
        </w:rPr>
      </w:pPr>
      <w:r>
        <w:rPr>
          <w:rFonts w:ascii="Times New Roman" w:hAnsi="Times New Roman"/>
          <w:sz w:val="18"/>
          <w:szCs w:val="18"/>
          <w:lang w:val="es-ES_tradnl"/>
        </w:rPr>
        <w:t>Raghavan PR (2017). Metadichol</w:t>
      </w:r>
      <w:r>
        <w:rPr>
          <w:rFonts w:ascii="Times New Roman" w:hAnsi="Times New Roman"/>
          <w:sz w:val="18"/>
          <w:szCs w:val="18"/>
        </w:rPr>
        <w:t>® Induced High Lev</w:t>
      </w:r>
      <w:r w:rsidR="00FA6841">
        <w:rPr>
          <w:rFonts w:ascii="Times New Roman" w:hAnsi="Times New Roman"/>
          <w:sz w:val="18"/>
          <w:szCs w:val="18"/>
        </w:rPr>
        <w:t>els of Vitamin C: Case Studies.</w:t>
      </w:r>
      <w:r>
        <w:rPr>
          <w:rFonts w:ascii="Times New Roman" w:hAnsi="Times New Roman"/>
          <w:sz w:val="18"/>
          <w:szCs w:val="18"/>
        </w:rPr>
        <w:t>Vitam Miner 6: 169. doi:10.4172/2376-1318.1000169</w:t>
      </w:r>
    </w:p>
    <w:p w:rsidR="00A060FE" w:rsidRDefault="00671DDB" w:rsidP="00A7168F">
      <w:pPr>
        <w:pStyle w:val="Body"/>
        <w:widowControl/>
        <w:numPr>
          <w:ilvl w:val="0"/>
          <w:numId w:val="2"/>
        </w:numPr>
        <w:spacing w:line="276" w:lineRule="auto"/>
        <w:rPr>
          <w:rFonts w:ascii="Times New Roman" w:eastAsia="Times New Roman" w:hAnsi="Times New Roman" w:cs="Times New Roman"/>
          <w:sz w:val="18"/>
          <w:szCs w:val="18"/>
          <w:lang w:val="es-ES_tradnl"/>
        </w:rPr>
      </w:pPr>
      <w:r>
        <w:rPr>
          <w:rFonts w:ascii="Times New Roman" w:hAnsi="Times New Roman"/>
          <w:sz w:val="18"/>
          <w:szCs w:val="18"/>
          <w:lang w:val="es-ES_tradnl"/>
        </w:rPr>
        <w:t>Raghavan P.R (2017) Metadichol</w:t>
      </w:r>
      <w:r>
        <w:rPr>
          <w:rFonts w:ascii="Times New Roman" w:hAnsi="Times New Roman"/>
          <w:sz w:val="18"/>
          <w:szCs w:val="18"/>
        </w:rPr>
        <w:t>® and Vitamin C Increase In Vivo, an Open-Label Study. Vitam Miner 6: 163</w:t>
      </w:r>
      <w:r>
        <w:rPr>
          <w:rFonts w:ascii="Calibri" w:hAnsi="Calibri"/>
          <w:sz w:val="18"/>
          <w:szCs w:val="18"/>
        </w:rPr>
        <w:t xml:space="preserve">    </w:t>
      </w:r>
    </w:p>
    <w:p w:rsidR="00A060FE" w:rsidRDefault="00A060FE" w:rsidP="00A7168F">
      <w:pPr>
        <w:pStyle w:val="Body"/>
        <w:widowControl/>
        <w:tabs>
          <w:tab w:val="left" w:pos="20"/>
          <w:tab w:val="left" w:pos="686"/>
        </w:tabs>
        <w:spacing w:line="276" w:lineRule="auto"/>
        <w:sectPr w:rsidR="00A060FE">
          <w:type w:val="continuous"/>
          <w:pgSz w:w="11920" w:h="16840"/>
          <w:pgMar w:top="720" w:right="380" w:bottom="360" w:left="620" w:header="541" w:footer="642" w:gutter="0"/>
          <w:cols w:num="2" w:space="720" w:equalWidth="0">
            <w:col w:w="5336" w:space="141"/>
            <w:col w:w="5463" w:space="0"/>
          </w:cols>
        </w:sectPr>
      </w:pPr>
    </w:p>
    <w:p w:rsidR="00A060FE" w:rsidRDefault="00A060FE" w:rsidP="00A7168F">
      <w:pPr>
        <w:pStyle w:val="BodyText"/>
        <w:spacing w:line="276" w:lineRule="auto"/>
        <w:rPr>
          <w:rFonts w:ascii="Calibri" w:eastAsia="Calibri" w:hAnsi="Calibri" w:cs="Calibri"/>
        </w:rPr>
      </w:pPr>
    </w:p>
    <w:p w:rsidR="00A060FE" w:rsidRDefault="00A060FE" w:rsidP="00A7168F">
      <w:pPr>
        <w:pStyle w:val="BodyText"/>
        <w:spacing w:line="276" w:lineRule="auto"/>
        <w:ind w:left="2202"/>
        <w:rPr>
          <w:rFonts w:ascii="Calibri" w:eastAsia="Calibri" w:hAnsi="Calibri" w:cs="Calibri"/>
        </w:rPr>
      </w:pPr>
    </w:p>
    <w:p w:rsidR="00A060FE" w:rsidRDefault="00671DDB" w:rsidP="00A7168F">
      <w:pPr>
        <w:pStyle w:val="Body"/>
        <w:keepNext/>
        <w:spacing w:line="276" w:lineRule="auto"/>
        <w:rPr>
          <w:sz w:val="18"/>
          <w:szCs w:val="18"/>
        </w:rPr>
      </w:pPr>
      <w:r>
        <w:rPr>
          <w:sz w:val="18"/>
          <w:szCs w:val="18"/>
        </w:rPr>
        <w:t xml:space="preserve">    </w:t>
      </w:r>
    </w:p>
    <w:p w:rsidR="00A060FE" w:rsidRDefault="00671DDB" w:rsidP="00A7168F">
      <w:pPr>
        <w:pStyle w:val="Body"/>
        <w:spacing w:before="92" w:line="276" w:lineRule="auto"/>
        <w:ind w:right="4234"/>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sz w:val="18"/>
          <w:szCs w:val="18"/>
        </w:rPr>
        <w:t xml:space="preserve"> </w:t>
      </w:r>
    </w:p>
    <w:p w:rsidR="00A060FE" w:rsidRDefault="00A060FE" w:rsidP="00A7168F">
      <w:pPr>
        <w:pStyle w:val="BodyText"/>
        <w:spacing w:line="276" w:lineRule="auto"/>
        <w:rPr>
          <w:rFonts w:ascii="Arial" w:eastAsia="Arial" w:hAnsi="Arial" w:cs="Arial"/>
        </w:rPr>
      </w:pPr>
    </w:p>
    <w:p w:rsidR="00A060FE" w:rsidRDefault="00A060FE" w:rsidP="00A7168F">
      <w:pPr>
        <w:pStyle w:val="BodyText"/>
        <w:spacing w:line="276" w:lineRule="auto"/>
        <w:rPr>
          <w:rFonts w:ascii="Arial" w:eastAsia="Arial" w:hAnsi="Arial" w:cs="Arial"/>
        </w:rPr>
      </w:pPr>
    </w:p>
    <w:p w:rsidR="00A060FE" w:rsidRDefault="00A060FE" w:rsidP="00A7168F">
      <w:pPr>
        <w:pStyle w:val="Body"/>
        <w:spacing w:line="276" w:lineRule="auto"/>
      </w:pPr>
    </w:p>
    <w:sectPr w:rsidR="00A060FE">
      <w:type w:val="continuous"/>
      <w:pgSz w:w="11920" w:h="16840"/>
      <w:pgMar w:top="720" w:right="380" w:bottom="360" w:left="620" w:header="541" w:footer="6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96C" w:rsidRDefault="00B6796C">
      <w:r>
        <w:separator/>
      </w:r>
    </w:p>
  </w:endnote>
  <w:endnote w:type="continuationSeparator" w:id="0">
    <w:p w:rsidR="00B6796C" w:rsidRDefault="00B67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0FE" w:rsidRDefault="00A060F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96C" w:rsidRDefault="00B6796C">
      <w:r>
        <w:separator/>
      </w:r>
    </w:p>
  </w:footnote>
  <w:footnote w:type="continuationSeparator" w:id="0">
    <w:p w:rsidR="00B6796C" w:rsidRDefault="00B67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60FE" w:rsidRDefault="00A060F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5D7A84"/>
    <w:multiLevelType w:val="hybridMultilevel"/>
    <w:tmpl w:val="748E02EA"/>
    <w:numStyleLink w:val="ImportedStyle1"/>
  </w:abstractNum>
  <w:abstractNum w:abstractNumId="1" w15:restartNumberingAfterBreak="0">
    <w:nsid w:val="7DA56995"/>
    <w:multiLevelType w:val="hybridMultilevel"/>
    <w:tmpl w:val="748E02EA"/>
    <w:styleLink w:val="ImportedStyle1"/>
    <w:lvl w:ilvl="0" w:tplc="04709192">
      <w:start w:val="1"/>
      <w:numFmt w:val="decimal"/>
      <w:lvlText w:val="%1)"/>
      <w:lvlJc w:val="left"/>
      <w:pPr>
        <w:tabs>
          <w:tab w:val="left" w:pos="20"/>
          <w:tab w:val="left" w:pos="686"/>
        </w:tabs>
        <w:ind w:left="667" w:hanging="667"/>
      </w:pPr>
      <w:rPr>
        <w:rFonts w:hAnsi="Arial Unicode MS"/>
        <w:caps w:val="0"/>
        <w:smallCaps w:val="0"/>
        <w:strike w:val="0"/>
        <w:dstrike w:val="0"/>
        <w:outline w:val="0"/>
        <w:emboss w:val="0"/>
        <w:imprint w:val="0"/>
        <w:spacing w:val="0"/>
        <w:w w:val="100"/>
        <w:kern w:val="0"/>
        <w:position w:val="0"/>
        <w:highlight w:val="none"/>
        <w:vertAlign w:val="baseline"/>
      </w:rPr>
    </w:lvl>
    <w:lvl w:ilvl="1" w:tplc="F5B84FE2">
      <w:start w:val="1"/>
      <w:numFmt w:val="decimal"/>
      <w:lvlText w:val="%2)"/>
      <w:lvlJc w:val="left"/>
      <w:pPr>
        <w:tabs>
          <w:tab w:val="left" w:pos="20"/>
          <w:tab w:val="left" w:pos="686"/>
        </w:tabs>
        <w:ind w:left="1387" w:hanging="667"/>
      </w:pPr>
      <w:rPr>
        <w:rFonts w:hAnsi="Arial Unicode MS"/>
        <w:caps w:val="0"/>
        <w:smallCaps w:val="0"/>
        <w:strike w:val="0"/>
        <w:dstrike w:val="0"/>
        <w:outline w:val="0"/>
        <w:emboss w:val="0"/>
        <w:imprint w:val="0"/>
        <w:spacing w:val="0"/>
        <w:w w:val="100"/>
        <w:kern w:val="0"/>
        <w:position w:val="0"/>
        <w:highlight w:val="none"/>
        <w:vertAlign w:val="baseline"/>
      </w:rPr>
    </w:lvl>
    <w:lvl w:ilvl="2" w:tplc="E65E5C8A">
      <w:start w:val="1"/>
      <w:numFmt w:val="decimal"/>
      <w:lvlText w:val="%3)"/>
      <w:lvlJc w:val="left"/>
      <w:pPr>
        <w:tabs>
          <w:tab w:val="left" w:pos="20"/>
          <w:tab w:val="left" w:pos="686"/>
        </w:tabs>
        <w:ind w:left="2107"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71BA60D8">
      <w:start w:val="1"/>
      <w:numFmt w:val="decimal"/>
      <w:lvlText w:val="%4)"/>
      <w:lvlJc w:val="left"/>
      <w:pPr>
        <w:tabs>
          <w:tab w:val="left" w:pos="20"/>
          <w:tab w:val="left" w:pos="686"/>
        </w:tabs>
        <w:ind w:left="2827" w:hanging="667"/>
      </w:pPr>
      <w:rPr>
        <w:rFonts w:hAnsi="Arial Unicode MS"/>
        <w:caps w:val="0"/>
        <w:smallCaps w:val="0"/>
        <w:strike w:val="0"/>
        <w:dstrike w:val="0"/>
        <w:outline w:val="0"/>
        <w:emboss w:val="0"/>
        <w:imprint w:val="0"/>
        <w:spacing w:val="0"/>
        <w:w w:val="100"/>
        <w:kern w:val="0"/>
        <w:position w:val="0"/>
        <w:highlight w:val="none"/>
        <w:vertAlign w:val="baseline"/>
      </w:rPr>
    </w:lvl>
    <w:lvl w:ilvl="4" w:tplc="DDD82288">
      <w:start w:val="1"/>
      <w:numFmt w:val="decimal"/>
      <w:lvlText w:val="%5)"/>
      <w:lvlJc w:val="left"/>
      <w:pPr>
        <w:tabs>
          <w:tab w:val="left" w:pos="20"/>
          <w:tab w:val="left" w:pos="686"/>
        </w:tabs>
        <w:ind w:left="3547" w:hanging="667"/>
      </w:pPr>
      <w:rPr>
        <w:rFonts w:hAnsi="Arial Unicode MS"/>
        <w:caps w:val="0"/>
        <w:smallCaps w:val="0"/>
        <w:strike w:val="0"/>
        <w:dstrike w:val="0"/>
        <w:outline w:val="0"/>
        <w:emboss w:val="0"/>
        <w:imprint w:val="0"/>
        <w:spacing w:val="0"/>
        <w:w w:val="100"/>
        <w:kern w:val="0"/>
        <w:position w:val="0"/>
        <w:highlight w:val="none"/>
        <w:vertAlign w:val="baseline"/>
      </w:rPr>
    </w:lvl>
    <w:lvl w:ilvl="5" w:tplc="19C26E96">
      <w:start w:val="1"/>
      <w:numFmt w:val="decimal"/>
      <w:lvlText w:val="%6)"/>
      <w:lvlJc w:val="left"/>
      <w:pPr>
        <w:tabs>
          <w:tab w:val="left" w:pos="20"/>
          <w:tab w:val="left" w:pos="686"/>
        </w:tabs>
        <w:ind w:left="4267"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EBD01BDE">
      <w:start w:val="1"/>
      <w:numFmt w:val="decimal"/>
      <w:lvlText w:val="%7)"/>
      <w:lvlJc w:val="left"/>
      <w:pPr>
        <w:tabs>
          <w:tab w:val="left" w:pos="20"/>
          <w:tab w:val="left" w:pos="686"/>
        </w:tabs>
        <w:ind w:left="4987" w:hanging="667"/>
      </w:pPr>
      <w:rPr>
        <w:rFonts w:hAnsi="Arial Unicode MS"/>
        <w:caps w:val="0"/>
        <w:smallCaps w:val="0"/>
        <w:strike w:val="0"/>
        <w:dstrike w:val="0"/>
        <w:outline w:val="0"/>
        <w:emboss w:val="0"/>
        <w:imprint w:val="0"/>
        <w:spacing w:val="0"/>
        <w:w w:val="100"/>
        <w:kern w:val="0"/>
        <w:position w:val="0"/>
        <w:highlight w:val="none"/>
        <w:vertAlign w:val="baseline"/>
      </w:rPr>
    </w:lvl>
    <w:lvl w:ilvl="7" w:tplc="95E61BCA">
      <w:start w:val="1"/>
      <w:numFmt w:val="decimal"/>
      <w:lvlText w:val="%8)"/>
      <w:lvlJc w:val="left"/>
      <w:pPr>
        <w:tabs>
          <w:tab w:val="left" w:pos="20"/>
          <w:tab w:val="left" w:pos="686"/>
        </w:tabs>
        <w:ind w:left="5707" w:hanging="667"/>
      </w:pPr>
      <w:rPr>
        <w:rFonts w:hAnsi="Arial Unicode MS"/>
        <w:caps w:val="0"/>
        <w:smallCaps w:val="0"/>
        <w:strike w:val="0"/>
        <w:dstrike w:val="0"/>
        <w:outline w:val="0"/>
        <w:emboss w:val="0"/>
        <w:imprint w:val="0"/>
        <w:spacing w:val="0"/>
        <w:w w:val="100"/>
        <w:kern w:val="0"/>
        <w:position w:val="0"/>
        <w:highlight w:val="none"/>
        <w:vertAlign w:val="baseline"/>
      </w:rPr>
    </w:lvl>
    <w:lvl w:ilvl="8" w:tplc="9EF81978">
      <w:start w:val="1"/>
      <w:numFmt w:val="decimal"/>
      <w:lvlText w:val="%9)"/>
      <w:lvlJc w:val="left"/>
      <w:pPr>
        <w:tabs>
          <w:tab w:val="left" w:pos="20"/>
          <w:tab w:val="left" w:pos="686"/>
        </w:tabs>
        <w:ind w:left="6427" w:hanging="66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0FE"/>
    <w:rsid w:val="00186652"/>
    <w:rsid w:val="00671DDB"/>
    <w:rsid w:val="007156A9"/>
    <w:rsid w:val="00806667"/>
    <w:rsid w:val="00856887"/>
    <w:rsid w:val="00A060FE"/>
    <w:rsid w:val="00A7168F"/>
    <w:rsid w:val="00B6796C"/>
    <w:rsid w:val="00B82E7E"/>
    <w:rsid w:val="00CA0120"/>
    <w:rsid w:val="00FA6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49808D"/>
  <w15:docId w15:val="{86BD1377-E755-7342-B2E4-59710594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paragraph" w:styleId="Heading3">
    <w:name w:val="heading 3"/>
    <w:pPr>
      <w:widowControl w:val="0"/>
      <w:ind w:left="100"/>
      <w:outlineLvl w:val="2"/>
    </w:pPr>
    <w:rPr>
      <w:rFonts w:ascii="Arial" w:hAnsi="Arial" w:cs="Arial Unicode MS"/>
      <w:b/>
      <w:bCs/>
      <w:color w:val="000000"/>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Heading">
    <w:name w:val="Heading"/>
    <w:pPr>
      <w:widowControl w:val="0"/>
      <w:spacing w:before="47" w:line="400" w:lineRule="exact"/>
      <w:ind w:left="100"/>
      <w:outlineLvl w:val="0"/>
    </w:pPr>
    <w:rPr>
      <w:rFonts w:ascii="Cambria Math" w:hAnsi="Cambria Math" w:cs="Arial Unicode MS"/>
      <w:color w:val="000000"/>
      <w:sz w:val="36"/>
      <w:szCs w:val="36"/>
      <w:u w:color="000000"/>
      <w:lang w:val="es-ES_tradnl"/>
    </w:rPr>
  </w:style>
  <w:style w:type="paragraph" w:customStyle="1" w:styleId="Body">
    <w:name w:val="Body"/>
    <w:pPr>
      <w:widowControl w:val="0"/>
    </w:pPr>
    <w:rPr>
      <w:rFonts w:ascii="Tw Cen MT" w:hAnsi="Tw Cen MT" w:cs="Arial Unicode MS"/>
      <w:color w:val="000000"/>
      <w:sz w:val="22"/>
      <w:szCs w:val="22"/>
      <w:u w:color="000000"/>
    </w:rPr>
  </w:style>
  <w:style w:type="paragraph" w:customStyle="1" w:styleId="Default">
    <w:name w:val="Default"/>
    <w:rPr>
      <w:rFonts w:ascii="Helvetica Neue" w:hAnsi="Helvetica Neue" w:cs="Arial Unicode MS"/>
      <w:color w:val="000000"/>
      <w:sz w:val="22"/>
      <w:szCs w:val="22"/>
      <w:u w:color="000000"/>
    </w:rPr>
  </w:style>
  <w:style w:type="paragraph" w:customStyle="1" w:styleId="BodyA">
    <w:name w:val="Body A"/>
    <w:pPr>
      <w:widowControl w:val="0"/>
    </w:pPr>
    <w:rPr>
      <w:rFonts w:ascii="Tw Cen MT" w:eastAsia="Tw Cen MT" w:hAnsi="Tw Cen MT" w:cs="Tw Cen MT"/>
      <w:color w:val="000000"/>
      <w:sz w:val="22"/>
      <w:szCs w:val="22"/>
      <w:u w:color="000000"/>
    </w:rPr>
  </w:style>
  <w:style w:type="character" w:customStyle="1" w:styleId="Hyperlink0">
    <w:name w:val="Hyperlink.0"/>
    <w:basedOn w:val="Hyperlink"/>
    <w:rPr>
      <w:color w:val="0000FF"/>
      <w:u w:val="single" w:color="0000FF"/>
    </w:rPr>
  </w:style>
  <w:style w:type="numbering" w:customStyle="1" w:styleId="ImportedStyle1">
    <w:name w:val="Imported Style 1"/>
    <w:pPr>
      <w:numPr>
        <w:numId w:val="1"/>
      </w:numPr>
    </w:pPr>
  </w:style>
  <w:style w:type="paragraph" w:styleId="BodyText">
    <w:name w:val="Body Text"/>
    <w:pPr>
      <w:widowControl w:val="0"/>
    </w:pPr>
    <w:rPr>
      <w:rFonts w:ascii="Tw Cen MT" w:eastAsia="Tw Cen MT" w:hAnsi="Tw Cen MT" w:cs="Tw Cen MT"/>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raghavan@nanorxin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raghavan@nanorxinc.com</cp:lastModifiedBy>
  <cp:revision>6</cp:revision>
  <dcterms:created xsi:type="dcterms:W3CDTF">2018-03-14T14:03:00Z</dcterms:created>
  <dcterms:modified xsi:type="dcterms:W3CDTF">2018-03-15T17:09:00Z</dcterms:modified>
</cp:coreProperties>
</file>