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DB007E" w:rsidP="00494130">
      <w:pPr>
        <w:pStyle w:val="Heading1"/>
        <w:spacing w:before="170"/>
        <w:ind w:left="0"/>
      </w:pPr>
      <w:r w:rsidRPr="00DB007E">
        <w:rPr>
          <w:color w:val="337AB7"/>
        </w:rPr>
        <w:t>Harnessing the Antibacterial Properties of Fluoridated Chitosan Polymers against Oral Biofilms</w:t>
      </w:r>
    </w:p>
    <w:p w:rsidR="00DB007E" w:rsidRPr="00DB007E" w:rsidRDefault="00DB007E" w:rsidP="00DB007E">
      <w:pPr>
        <w:pStyle w:val="BodyText"/>
        <w:rPr>
          <w:rFonts w:ascii="Arial"/>
        </w:rPr>
      </w:pPr>
      <w:proofErr w:type="spellStart"/>
      <w:r w:rsidRPr="00DB007E">
        <w:rPr>
          <w:rFonts w:ascii="Arial"/>
        </w:rPr>
        <w:t>Dien</w:t>
      </w:r>
      <w:proofErr w:type="spellEnd"/>
      <w:r w:rsidRPr="00DB007E">
        <w:rPr>
          <w:rFonts w:ascii="Arial"/>
        </w:rPr>
        <w:t xml:space="preserve"> </w:t>
      </w:r>
      <w:proofErr w:type="spellStart"/>
      <w:r w:rsidRPr="00DB007E">
        <w:rPr>
          <w:rFonts w:ascii="Arial"/>
        </w:rPr>
        <w:t>Puji</w:t>
      </w:r>
      <w:proofErr w:type="spellEnd"/>
      <w:r w:rsidRPr="00DB007E">
        <w:rPr>
          <w:rFonts w:ascii="Arial"/>
        </w:rPr>
        <w:t xml:space="preserve"> </w:t>
      </w:r>
      <w:proofErr w:type="spellStart"/>
      <w:r w:rsidRPr="00DB007E">
        <w:rPr>
          <w:rFonts w:ascii="Arial"/>
        </w:rPr>
        <w:t>Rahayu</w:t>
      </w:r>
      <w:proofErr w:type="spellEnd"/>
      <w:r>
        <w:rPr>
          <w:rFonts w:ascii="Arial"/>
        </w:rPr>
        <w:t xml:space="preserve">, </w:t>
      </w:r>
      <w:r w:rsidRPr="00DB007E">
        <w:rPr>
          <w:rFonts w:ascii="Arial"/>
        </w:rPr>
        <w:t xml:space="preserve">Roger </w:t>
      </w:r>
      <w:proofErr w:type="spellStart"/>
      <w:r w:rsidRPr="00DB007E">
        <w:rPr>
          <w:rFonts w:ascii="Arial"/>
        </w:rPr>
        <w:t>Draheim</w:t>
      </w:r>
      <w:proofErr w:type="spellEnd"/>
      <w:r>
        <w:rPr>
          <w:rFonts w:ascii="Arial"/>
        </w:rPr>
        <w:t xml:space="preserve">, </w:t>
      </w:r>
      <w:proofErr w:type="spellStart"/>
      <w:r w:rsidRPr="00DB007E">
        <w:rPr>
          <w:rFonts w:ascii="Arial"/>
        </w:rPr>
        <w:t>Aikaterini</w:t>
      </w:r>
      <w:proofErr w:type="spellEnd"/>
      <w:r w:rsidRPr="00DB007E">
        <w:rPr>
          <w:rFonts w:ascii="Arial"/>
        </w:rPr>
        <w:t xml:space="preserve"> </w:t>
      </w:r>
      <w:proofErr w:type="spellStart"/>
      <w:r w:rsidRPr="00DB007E">
        <w:rPr>
          <w:rFonts w:ascii="Arial"/>
        </w:rPr>
        <w:t>Lalatsa</w:t>
      </w:r>
      <w:proofErr w:type="spellEnd"/>
      <w:r>
        <w:rPr>
          <w:rFonts w:ascii="Arial"/>
        </w:rPr>
        <w:t xml:space="preserve">, </w:t>
      </w:r>
      <w:r w:rsidRPr="00DB007E">
        <w:rPr>
          <w:rFonts w:ascii="Arial"/>
          <w:u w:val="single"/>
        </w:rPr>
        <w:t>Marta Roldo</w:t>
      </w:r>
    </w:p>
    <w:p w:rsidR="00DB007E" w:rsidRDefault="00DB007E" w:rsidP="00DB007E">
      <w:pPr>
        <w:pStyle w:val="BodyText"/>
        <w:rPr>
          <w:rFonts w:ascii="Arial"/>
        </w:rPr>
      </w:pPr>
    </w:p>
    <w:p w:rsidR="00AE3E37" w:rsidRDefault="00DB007E" w:rsidP="00DB007E">
      <w:pPr>
        <w:pStyle w:val="BodyText"/>
        <w:rPr>
          <w:rFonts w:ascii="Arial"/>
          <w:sz w:val="20"/>
        </w:rPr>
      </w:pPr>
      <w:r w:rsidRPr="00DB007E">
        <w:rPr>
          <w:rFonts w:ascii="Arial"/>
        </w:rPr>
        <w:t>School of Pharmacy and Biomedical Sciences, University of Portsmouth, St Michael</w:t>
      </w:r>
      <w:r w:rsidRPr="00DB007E">
        <w:rPr>
          <w:rFonts w:ascii="Arial"/>
        </w:rPr>
        <w:t>’</w:t>
      </w:r>
      <w:r w:rsidRPr="00DB007E">
        <w:rPr>
          <w:rFonts w:ascii="Arial"/>
        </w:rPr>
        <w:t>s Building, White Swan Road, Portsmouth PO1 2DT, U</w:t>
      </w:r>
      <w:r>
        <w:rPr>
          <w:rFonts w:ascii="Arial"/>
        </w:rPr>
        <w:t>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FC74EC" w:rsidRPr="00F17144" w:rsidRDefault="00D804EA">
      <w:pPr>
        <w:pStyle w:val="Heading3"/>
        <w:spacing w:before="74"/>
        <w:rPr>
          <w:rFonts w:ascii="Calibri" w:eastAsia="Calibri" w:hAnsi="Calibri" w:cs="Calibri"/>
          <w:b w:val="0"/>
          <w:bCs w:val="0"/>
          <w:spacing w:val="-4"/>
          <w:sz w:val="18"/>
          <w:szCs w:val="22"/>
        </w:rPr>
      </w:pPr>
      <w:r w:rsidRPr="00F17144">
        <w:rPr>
          <w:rFonts w:ascii="Calibri" w:eastAsia="Calibri" w:hAnsi="Calibri" w:cs="Calibri"/>
          <w:b w:val="0"/>
          <w:bCs w:val="0"/>
          <w:spacing w:val="-4"/>
          <w:sz w:val="18"/>
          <w:szCs w:val="22"/>
        </w:rPr>
        <w:t xml:space="preserve">Dental caries </w:t>
      </w:r>
      <w:r w:rsidR="00A86AA8" w:rsidRPr="00F17144">
        <w:rPr>
          <w:rFonts w:ascii="Calibri" w:eastAsia="Calibri" w:hAnsi="Calibri" w:cs="Calibri"/>
          <w:b w:val="0"/>
          <w:bCs w:val="0"/>
          <w:spacing w:val="-4"/>
          <w:sz w:val="18"/>
          <w:szCs w:val="22"/>
        </w:rPr>
        <w:t>is</w:t>
      </w:r>
      <w:r w:rsidRPr="00F17144">
        <w:rPr>
          <w:rFonts w:ascii="Calibri" w:eastAsia="Calibri" w:hAnsi="Calibri" w:cs="Calibri"/>
          <w:b w:val="0"/>
          <w:bCs w:val="0"/>
          <w:spacing w:val="-4"/>
          <w:sz w:val="18"/>
          <w:szCs w:val="22"/>
        </w:rPr>
        <w:t xml:space="preserve"> a worldwide endemic chronic disease affecting people of all ages</w:t>
      </w:r>
      <w:r w:rsidR="00A11B25" w:rsidRPr="00F17144">
        <w:rPr>
          <w:rFonts w:ascii="Calibri" w:eastAsia="Calibri" w:hAnsi="Calibri" w:cs="Calibri"/>
          <w:b w:val="0"/>
          <w:bCs w:val="0"/>
          <w:spacing w:val="-4"/>
          <w:sz w:val="18"/>
          <w:szCs w:val="22"/>
        </w:rPr>
        <w:t>, with high incidence in the young population of developing countries</w:t>
      </w:r>
      <w:r w:rsidR="00DB007E" w:rsidRPr="00DB007E">
        <w:rPr>
          <w:rFonts w:ascii="Calibri" w:eastAsia="Calibri" w:hAnsi="Calibri" w:cs="Calibri"/>
          <w:b w:val="0"/>
          <w:bCs w:val="0"/>
          <w:spacing w:val="-4"/>
          <w:sz w:val="18"/>
          <w:szCs w:val="22"/>
          <w:vertAlign w:val="superscript"/>
        </w:rPr>
        <w:t>1</w:t>
      </w:r>
      <w:r w:rsidR="00A11B25" w:rsidRPr="00F17144">
        <w:rPr>
          <w:rFonts w:ascii="Calibri" w:eastAsia="Calibri" w:hAnsi="Calibri" w:cs="Calibri"/>
          <w:b w:val="0"/>
          <w:bCs w:val="0"/>
          <w:spacing w:val="-4"/>
          <w:sz w:val="18"/>
          <w:szCs w:val="22"/>
        </w:rPr>
        <w:t>.</w:t>
      </w:r>
      <w:r w:rsidRPr="00F17144">
        <w:rPr>
          <w:rFonts w:ascii="Calibri" w:eastAsia="Calibri" w:hAnsi="Calibri" w:cs="Calibri"/>
          <w:b w:val="0"/>
          <w:bCs w:val="0"/>
          <w:spacing w:val="-4"/>
          <w:sz w:val="18"/>
          <w:szCs w:val="22"/>
        </w:rPr>
        <w:t xml:space="preserve"> Due to the limitations of daily used oral hygiene products, there is an unmet need for new, effective, safe and economic oral </w:t>
      </w:r>
      <w:r w:rsidR="00A11B25" w:rsidRPr="00F17144">
        <w:rPr>
          <w:rFonts w:ascii="Calibri" w:eastAsia="Calibri" w:hAnsi="Calibri" w:cs="Calibri"/>
          <w:b w:val="0"/>
          <w:bCs w:val="0"/>
          <w:spacing w:val="-4"/>
          <w:sz w:val="18"/>
          <w:szCs w:val="22"/>
        </w:rPr>
        <w:t xml:space="preserve">hygiene </w:t>
      </w:r>
      <w:r w:rsidRPr="00F17144">
        <w:rPr>
          <w:rFonts w:ascii="Calibri" w:eastAsia="Calibri" w:hAnsi="Calibri" w:cs="Calibri"/>
          <w:b w:val="0"/>
          <w:bCs w:val="0"/>
          <w:spacing w:val="-4"/>
          <w:sz w:val="18"/>
          <w:szCs w:val="22"/>
        </w:rPr>
        <w:t xml:space="preserve">products. </w:t>
      </w:r>
      <w:r w:rsidR="00A11B25" w:rsidRPr="00F17144">
        <w:rPr>
          <w:rFonts w:ascii="Calibri" w:eastAsia="Calibri" w:hAnsi="Calibri" w:cs="Calibri"/>
          <w:b w:val="0"/>
          <w:bCs w:val="0"/>
          <w:spacing w:val="-4"/>
          <w:sz w:val="18"/>
          <w:szCs w:val="22"/>
        </w:rPr>
        <w:t xml:space="preserve">Using chitosan as a starting material we exploit a sustainable source and address an environmental issue as the same time. In </w:t>
      </w:r>
      <w:r w:rsidR="00A86AA8" w:rsidRPr="00F17144">
        <w:rPr>
          <w:rFonts w:ascii="Calibri" w:eastAsia="Calibri" w:hAnsi="Calibri" w:cs="Calibri"/>
          <w:b w:val="0"/>
          <w:bCs w:val="0"/>
          <w:spacing w:val="-4"/>
          <w:sz w:val="18"/>
          <w:szCs w:val="22"/>
        </w:rPr>
        <w:t>fact,</w:t>
      </w:r>
      <w:r w:rsidR="00A11B25" w:rsidRPr="00F17144">
        <w:rPr>
          <w:rFonts w:ascii="Calibri" w:eastAsia="Calibri" w:hAnsi="Calibri" w:cs="Calibri"/>
          <w:b w:val="0"/>
          <w:bCs w:val="0"/>
          <w:spacing w:val="-4"/>
          <w:sz w:val="18"/>
          <w:szCs w:val="22"/>
        </w:rPr>
        <w:t xml:space="preserve"> food waste from the shellfish food industry can be recycled to extract chitin the precursor of chitosan. </w:t>
      </w:r>
      <w:r w:rsidRPr="00F17144">
        <w:rPr>
          <w:rFonts w:ascii="Calibri" w:eastAsia="Calibri" w:hAnsi="Calibri" w:cs="Calibri"/>
          <w:b w:val="0"/>
          <w:bCs w:val="0"/>
          <w:spacing w:val="-4"/>
          <w:sz w:val="18"/>
          <w:szCs w:val="22"/>
        </w:rPr>
        <w:t xml:space="preserve">We have recently demonstrated that </w:t>
      </w:r>
      <w:r w:rsidRPr="00DB007E">
        <w:rPr>
          <w:rFonts w:ascii="Calibri" w:eastAsia="Calibri" w:hAnsi="Calibri" w:cs="Calibri"/>
          <w:b w:val="0"/>
          <w:bCs w:val="0"/>
          <w:i/>
          <w:spacing w:val="-4"/>
          <w:sz w:val="18"/>
          <w:szCs w:val="22"/>
        </w:rPr>
        <w:t>N</w:t>
      </w:r>
      <w:r w:rsidRPr="00F17144">
        <w:rPr>
          <w:rFonts w:ascii="Calibri" w:eastAsia="Calibri" w:hAnsi="Calibri" w:cs="Calibri"/>
          <w:b w:val="0"/>
          <w:bCs w:val="0"/>
          <w:spacing w:val="-4"/>
          <w:sz w:val="18"/>
          <w:szCs w:val="22"/>
        </w:rPr>
        <w:t xml:space="preserve">-(2(2,6-diaminohexanamide)-chitosan (CS3H Lys) has enhanced antibacterial properties against </w:t>
      </w:r>
      <w:r w:rsidR="00FC74EC" w:rsidRPr="00DB007E">
        <w:rPr>
          <w:rFonts w:ascii="Calibri" w:eastAsia="Calibri" w:hAnsi="Calibri" w:cs="Calibri"/>
          <w:b w:val="0"/>
          <w:bCs w:val="0"/>
          <w:i/>
          <w:spacing w:val="-4"/>
          <w:sz w:val="18"/>
          <w:szCs w:val="22"/>
        </w:rPr>
        <w:t>Staphylococcus aureus</w:t>
      </w:r>
      <w:r w:rsidR="00FC74EC" w:rsidRPr="00F17144">
        <w:rPr>
          <w:rFonts w:ascii="Calibri" w:eastAsia="Calibri" w:hAnsi="Calibri" w:cs="Calibri"/>
          <w:b w:val="0"/>
          <w:bCs w:val="0"/>
          <w:spacing w:val="-4"/>
          <w:sz w:val="18"/>
          <w:szCs w:val="22"/>
        </w:rPr>
        <w:t xml:space="preserve"> a bacterium responsible for a high percentage of implant associated infections</w:t>
      </w:r>
      <w:r w:rsidR="00DB007E">
        <w:rPr>
          <w:rFonts w:ascii="Calibri" w:eastAsia="Calibri" w:hAnsi="Calibri" w:cs="Calibri"/>
          <w:b w:val="0"/>
          <w:bCs w:val="0"/>
          <w:spacing w:val="-4"/>
          <w:sz w:val="18"/>
          <w:szCs w:val="22"/>
          <w:vertAlign w:val="superscript"/>
        </w:rPr>
        <w:t>2</w:t>
      </w:r>
      <w:r w:rsidR="00FC74EC" w:rsidRPr="00F17144">
        <w:rPr>
          <w:rFonts w:ascii="Calibri" w:eastAsia="Calibri" w:hAnsi="Calibri" w:cs="Calibri"/>
          <w:b w:val="0"/>
          <w:bCs w:val="0"/>
          <w:spacing w:val="-4"/>
          <w:sz w:val="18"/>
          <w:szCs w:val="22"/>
        </w:rPr>
        <w:t xml:space="preserve">. </w:t>
      </w:r>
      <w:r w:rsidR="00A86AA8" w:rsidRPr="00F17144">
        <w:rPr>
          <w:rFonts w:ascii="Calibri" w:eastAsia="Calibri" w:hAnsi="Calibri" w:cs="Calibri"/>
          <w:b w:val="0"/>
          <w:bCs w:val="0"/>
          <w:spacing w:val="-4"/>
          <w:sz w:val="18"/>
          <w:szCs w:val="22"/>
        </w:rPr>
        <w:t>Therefore,</w:t>
      </w:r>
      <w:r w:rsidR="00FC74EC" w:rsidRPr="00F17144">
        <w:rPr>
          <w:rFonts w:ascii="Calibri" w:eastAsia="Calibri" w:hAnsi="Calibri" w:cs="Calibri"/>
          <w:b w:val="0"/>
          <w:bCs w:val="0"/>
          <w:spacing w:val="-4"/>
          <w:sz w:val="18"/>
          <w:szCs w:val="22"/>
        </w:rPr>
        <w:t xml:space="preserve"> in the present study we evaluated it</w:t>
      </w:r>
      <w:r w:rsidR="00DB007E">
        <w:rPr>
          <w:rFonts w:ascii="Calibri" w:eastAsia="Calibri" w:hAnsi="Calibri" w:cs="Calibri"/>
          <w:b w:val="0"/>
          <w:bCs w:val="0"/>
          <w:spacing w:val="-4"/>
          <w:sz w:val="18"/>
          <w:szCs w:val="22"/>
        </w:rPr>
        <w:t>s</w:t>
      </w:r>
      <w:r w:rsidR="00FC74EC" w:rsidRPr="00F17144">
        <w:rPr>
          <w:rFonts w:ascii="Calibri" w:eastAsia="Calibri" w:hAnsi="Calibri" w:cs="Calibri"/>
          <w:b w:val="0"/>
          <w:bCs w:val="0"/>
          <w:spacing w:val="-4"/>
          <w:sz w:val="18"/>
          <w:szCs w:val="22"/>
        </w:rPr>
        <w:t xml:space="preserve"> efficacy against </w:t>
      </w:r>
      <w:r w:rsidRPr="00DB007E">
        <w:rPr>
          <w:rFonts w:ascii="Calibri" w:eastAsia="Calibri" w:hAnsi="Calibri" w:cs="Calibri"/>
          <w:b w:val="0"/>
          <w:bCs w:val="0"/>
          <w:i/>
          <w:spacing w:val="-4"/>
          <w:sz w:val="18"/>
          <w:szCs w:val="22"/>
        </w:rPr>
        <w:t xml:space="preserve">Streptococcus </w:t>
      </w:r>
      <w:proofErr w:type="spellStart"/>
      <w:r w:rsidRPr="00DB007E">
        <w:rPr>
          <w:rFonts w:ascii="Calibri" w:eastAsia="Calibri" w:hAnsi="Calibri" w:cs="Calibri"/>
          <w:b w:val="0"/>
          <w:bCs w:val="0"/>
          <w:i/>
          <w:spacing w:val="-4"/>
          <w:sz w:val="18"/>
          <w:szCs w:val="22"/>
        </w:rPr>
        <w:t>mutans</w:t>
      </w:r>
      <w:proofErr w:type="spellEnd"/>
      <w:r w:rsidRPr="00F17144">
        <w:rPr>
          <w:rFonts w:ascii="Calibri" w:eastAsia="Calibri" w:hAnsi="Calibri" w:cs="Calibri"/>
          <w:b w:val="0"/>
          <w:bCs w:val="0"/>
          <w:spacing w:val="-4"/>
          <w:sz w:val="18"/>
          <w:szCs w:val="22"/>
        </w:rPr>
        <w:t>, the main cariogenic bacterium</w:t>
      </w:r>
      <w:r w:rsidR="00FC74EC" w:rsidRPr="00F17144">
        <w:rPr>
          <w:rFonts w:ascii="Calibri" w:eastAsia="Calibri" w:hAnsi="Calibri" w:cs="Calibri"/>
          <w:b w:val="0"/>
          <w:bCs w:val="0"/>
          <w:spacing w:val="-4"/>
          <w:sz w:val="18"/>
          <w:szCs w:val="22"/>
        </w:rPr>
        <w:t>.</w:t>
      </w:r>
      <w:r w:rsidRPr="00F17144">
        <w:rPr>
          <w:rFonts w:ascii="Calibri" w:eastAsia="Calibri" w:hAnsi="Calibri" w:cs="Calibri"/>
          <w:b w:val="0"/>
          <w:bCs w:val="0"/>
          <w:spacing w:val="-4"/>
          <w:sz w:val="18"/>
          <w:szCs w:val="22"/>
        </w:rPr>
        <w:t xml:space="preserve"> </w:t>
      </w:r>
      <w:r w:rsidR="00FC74EC" w:rsidRPr="00F17144">
        <w:rPr>
          <w:rFonts w:ascii="Calibri" w:eastAsia="Calibri" w:hAnsi="Calibri" w:cs="Calibri"/>
          <w:b w:val="0"/>
          <w:bCs w:val="0"/>
          <w:spacing w:val="-4"/>
          <w:sz w:val="18"/>
          <w:szCs w:val="22"/>
        </w:rPr>
        <w:t>W</w:t>
      </w:r>
      <w:r w:rsidRPr="00F17144">
        <w:rPr>
          <w:rFonts w:ascii="Calibri" w:eastAsia="Calibri" w:hAnsi="Calibri" w:cs="Calibri"/>
          <w:b w:val="0"/>
          <w:bCs w:val="0"/>
          <w:spacing w:val="-4"/>
          <w:sz w:val="18"/>
          <w:szCs w:val="22"/>
        </w:rPr>
        <w:t xml:space="preserve">e </w:t>
      </w:r>
      <w:r w:rsidR="00A11B25" w:rsidRPr="00F17144">
        <w:rPr>
          <w:rFonts w:ascii="Calibri" w:eastAsia="Calibri" w:hAnsi="Calibri" w:cs="Calibri"/>
          <w:b w:val="0"/>
          <w:bCs w:val="0"/>
          <w:spacing w:val="-4"/>
          <w:sz w:val="18"/>
          <w:szCs w:val="22"/>
        </w:rPr>
        <w:t xml:space="preserve">further </w:t>
      </w:r>
      <w:r w:rsidRPr="00F17144">
        <w:rPr>
          <w:rFonts w:ascii="Calibri" w:eastAsia="Calibri" w:hAnsi="Calibri" w:cs="Calibri"/>
          <w:b w:val="0"/>
          <w:bCs w:val="0"/>
          <w:spacing w:val="-4"/>
          <w:sz w:val="18"/>
          <w:szCs w:val="22"/>
        </w:rPr>
        <w:t xml:space="preserve">investigated the effect of fluoridation of this polymer (CS3H Lys F) on its antibacterial properties and the ability to protect teeth from acid demineralization. </w:t>
      </w:r>
      <w:r w:rsidR="00FC74EC" w:rsidRPr="00F17144">
        <w:rPr>
          <w:rFonts w:ascii="Calibri" w:eastAsia="Calibri" w:hAnsi="Calibri" w:cs="Calibri"/>
          <w:b w:val="0"/>
          <w:bCs w:val="0"/>
          <w:spacing w:val="-4"/>
          <w:sz w:val="18"/>
          <w:szCs w:val="22"/>
        </w:rPr>
        <w:t xml:space="preserve">Finally, the polymers were formulated </w:t>
      </w:r>
      <w:r w:rsidRPr="00F17144">
        <w:rPr>
          <w:rFonts w:ascii="Calibri" w:eastAsia="Calibri" w:hAnsi="Calibri" w:cs="Calibri"/>
          <w:b w:val="0"/>
          <w:bCs w:val="0"/>
          <w:spacing w:val="-4"/>
          <w:sz w:val="18"/>
          <w:szCs w:val="22"/>
        </w:rPr>
        <w:t>into mouthwash preparations an</w:t>
      </w:r>
      <w:r w:rsidR="00FC74EC" w:rsidRPr="00F17144">
        <w:rPr>
          <w:rFonts w:ascii="Calibri" w:eastAsia="Calibri" w:hAnsi="Calibri" w:cs="Calibri"/>
          <w:b w:val="0"/>
          <w:bCs w:val="0"/>
          <w:spacing w:val="-4"/>
          <w:sz w:val="18"/>
          <w:szCs w:val="22"/>
        </w:rPr>
        <w:t>d</w:t>
      </w:r>
      <w:r w:rsidRPr="00F17144">
        <w:rPr>
          <w:rFonts w:ascii="Calibri" w:eastAsia="Calibri" w:hAnsi="Calibri" w:cs="Calibri"/>
          <w:b w:val="0"/>
          <w:bCs w:val="0"/>
          <w:spacing w:val="-4"/>
          <w:sz w:val="18"/>
          <w:szCs w:val="22"/>
        </w:rPr>
        <w:t xml:space="preserve"> their cytocompatibility and physicochemical stability </w:t>
      </w:r>
      <w:r w:rsidR="00FC74EC" w:rsidRPr="00F17144">
        <w:rPr>
          <w:rFonts w:ascii="Calibri" w:eastAsia="Calibri" w:hAnsi="Calibri" w:cs="Calibri"/>
          <w:b w:val="0"/>
          <w:bCs w:val="0"/>
          <w:spacing w:val="-4"/>
          <w:sz w:val="18"/>
          <w:szCs w:val="22"/>
        </w:rPr>
        <w:t xml:space="preserve">were assessed </w:t>
      </w:r>
      <w:r w:rsidRPr="00F17144">
        <w:rPr>
          <w:rFonts w:ascii="Calibri" w:eastAsia="Calibri" w:hAnsi="Calibri" w:cs="Calibri"/>
          <w:b w:val="0"/>
          <w:bCs w:val="0"/>
          <w:spacing w:val="-4"/>
          <w:sz w:val="18"/>
          <w:szCs w:val="22"/>
        </w:rPr>
        <w:t>over 6 months</w:t>
      </w:r>
      <w:r w:rsidR="00DB007E">
        <w:rPr>
          <w:rFonts w:ascii="Calibri" w:eastAsia="Calibri" w:hAnsi="Calibri" w:cs="Calibri"/>
          <w:b w:val="0"/>
          <w:bCs w:val="0"/>
          <w:spacing w:val="-4"/>
          <w:sz w:val="18"/>
          <w:szCs w:val="22"/>
          <w:vertAlign w:val="superscript"/>
        </w:rPr>
        <w:t>3</w:t>
      </w:r>
      <w:r w:rsidRPr="00F17144">
        <w:rPr>
          <w:rFonts w:ascii="Calibri" w:eastAsia="Calibri" w:hAnsi="Calibri" w:cs="Calibri"/>
          <w:b w:val="0"/>
          <w:bCs w:val="0"/>
          <w:spacing w:val="-4"/>
          <w:sz w:val="18"/>
          <w:szCs w:val="22"/>
        </w:rPr>
        <w:t>.</w:t>
      </w:r>
    </w:p>
    <w:p w:rsidR="00AE3E37" w:rsidRDefault="00D804EA">
      <w:pPr>
        <w:pStyle w:val="Heading3"/>
        <w:spacing w:before="74"/>
      </w:pPr>
      <w:r w:rsidRPr="00F17144">
        <w:rPr>
          <w:rFonts w:ascii="Calibri" w:eastAsia="Calibri" w:hAnsi="Calibri" w:cs="Calibri"/>
          <w:b w:val="0"/>
          <w:bCs w:val="0"/>
          <w:spacing w:val="-4"/>
          <w:sz w:val="18"/>
          <w:szCs w:val="22"/>
        </w:rPr>
        <w:t xml:space="preserve">CS3H Lys F was </w:t>
      </w:r>
      <w:r w:rsidR="00FC74EC" w:rsidRPr="00F17144">
        <w:rPr>
          <w:rFonts w:ascii="Calibri" w:eastAsia="Calibri" w:hAnsi="Calibri" w:cs="Calibri"/>
          <w:b w:val="0"/>
          <w:bCs w:val="0"/>
          <w:spacing w:val="-4"/>
          <w:sz w:val="18"/>
          <w:szCs w:val="22"/>
        </w:rPr>
        <w:t>found to be</w:t>
      </w:r>
      <w:r w:rsidR="00DB007E">
        <w:rPr>
          <w:rFonts w:ascii="Calibri" w:eastAsia="Calibri" w:hAnsi="Calibri" w:cs="Calibri"/>
          <w:b w:val="0"/>
          <w:bCs w:val="0"/>
          <w:spacing w:val="-4"/>
          <w:sz w:val="18"/>
          <w:szCs w:val="22"/>
        </w:rPr>
        <w:t xml:space="preserve"> </w:t>
      </w:r>
      <w:r w:rsidRPr="00F17144">
        <w:rPr>
          <w:rFonts w:ascii="Calibri" w:eastAsia="Calibri" w:hAnsi="Calibri" w:cs="Calibri"/>
          <w:b w:val="0"/>
          <w:bCs w:val="0"/>
          <w:spacing w:val="-4"/>
          <w:sz w:val="18"/>
          <w:szCs w:val="22"/>
        </w:rPr>
        <w:t xml:space="preserve">1.6-fold more effective than </w:t>
      </w:r>
      <w:r w:rsidR="00DB007E">
        <w:rPr>
          <w:rFonts w:ascii="Calibri" w:eastAsia="Calibri" w:hAnsi="Calibri" w:cs="Calibri"/>
          <w:b w:val="0"/>
          <w:bCs w:val="0"/>
          <w:spacing w:val="-4"/>
          <w:sz w:val="18"/>
          <w:szCs w:val="22"/>
        </w:rPr>
        <w:t>a 1450 ppm</w:t>
      </w:r>
      <w:r w:rsidRPr="00F17144">
        <w:rPr>
          <w:rFonts w:ascii="Calibri" w:eastAsia="Calibri" w:hAnsi="Calibri" w:cs="Calibri"/>
          <w:b w:val="0"/>
          <w:bCs w:val="0"/>
          <w:spacing w:val="-4"/>
          <w:sz w:val="18"/>
          <w:szCs w:val="22"/>
        </w:rPr>
        <w:t xml:space="preserve"> </w:t>
      </w:r>
      <w:proofErr w:type="spellStart"/>
      <w:r w:rsidRPr="00F17144">
        <w:rPr>
          <w:rFonts w:ascii="Calibri" w:eastAsia="Calibri" w:hAnsi="Calibri" w:cs="Calibri"/>
          <w:b w:val="0"/>
          <w:bCs w:val="0"/>
          <w:spacing w:val="-4"/>
          <w:sz w:val="18"/>
          <w:szCs w:val="22"/>
        </w:rPr>
        <w:t>NaF</w:t>
      </w:r>
      <w:proofErr w:type="spellEnd"/>
      <w:r w:rsidR="00DB007E">
        <w:rPr>
          <w:rFonts w:ascii="Calibri" w:eastAsia="Calibri" w:hAnsi="Calibri" w:cs="Calibri"/>
          <w:b w:val="0"/>
          <w:bCs w:val="0"/>
          <w:spacing w:val="-4"/>
          <w:sz w:val="18"/>
          <w:szCs w:val="22"/>
        </w:rPr>
        <w:t xml:space="preserve"> aqueous solution</w:t>
      </w:r>
      <w:r w:rsidR="00FC74EC" w:rsidRPr="00F17144">
        <w:rPr>
          <w:rFonts w:ascii="Calibri" w:eastAsia="Calibri" w:hAnsi="Calibri" w:cs="Calibri"/>
          <w:b w:val="0"/>
          <w:bCs w:val="0"/>
          <w:spacing w:val="-4"/>
          <w:sz w:val="18"/>
          <w:szCs w:val="22"/>
        </w:rPr>
        <w:t xml:space="preserve"> </w:t>
      </w:r>
      <w:r w:rsidRPr="00F17144">
        <w:rPr>
          <w:rFonts w:ascii="Calibri" w:eastAsia="Calibri" w:hAnsi="Calibri" w:cs="Calibri"/>
          <w:b w:val="0"/>
          <w:bCs w:val="0"/>
          <w:spacing w:val="-4"/>
          <w:sz w:val="18"/>
          <w:szCs w:val="22"/>
        </w:rPr>
        <w:t xml:space="preserve">in preventing acid demineralization. </w:t>
      </w:r>
      <w:r w:rsidR="00FC74EC" w:rsidRPr="00F17144">
        <w:rPr>
          <w:rFonts w:ascii="Calibri" w:eastAsia="Calibri" w:hAnsi="Calibri" w:cs="Calibri"/>
          <w:b w:val="0"/>
          <w:bCs w:val="0"/>
          <w:spacing w:val="-4"/>
          <w:sz w:val="18"/>
          <w:szCs w:val="22"/>
        </w:rPr>
        <w:t xml:space="preserve">This higher efficacy was obtained with a concentration of fluoride ions 3000 times lower compared to the </w:t>
      </w:r>
      <w:proofErr w:type="spellStart"/>
      <w:r w:rsidR="00FC74EC" w:rsidRPr="00F17144">
        <w:rPr>
          <w:rFonts w:ascii="Calibri" w:eastAsia="Calibri" w:hAnsi="Calibri" w:cs="Calibri"/>
          <w:b w:val="0"/>
          <w:bCs w:val="0"/>
          <w:spacing w:val="-4"/>
          <w:sz w:val="18"/>
          <w:szCs w:val="22"/>
        </w:rPr>
        <w:t>NaF</w:t>
      </w:r>
      <w:proofErr w:type="spellEnd"/>
      <w:r w:rsidR="00FC74EC" w:rsidRPr="00F17144">
        <w:rPr>
          <w:rFonts w:ascii="Calibri" w:eastAsia="Calibri" w:hAnsi="Calibri" w:cs="Calibri"/>
          <w:b w:val="0"/>
          <w:bCs w:val="0"/>
          <w:spacing w:val="-4"/>
          <w:sz w:val="18"/>
          <w:szCs w:val="22"/>
        </w:rPr>
        <w:t xml:space="preserve"> 1450ppm solution used as control. This demonstrated that the mode of delivery of fluoride ions is more important for efficacy that the dose</w:t>
      </w:r>
      <w:r w:rsidR="00DB007E">
        <w:rPr>
          <w:rFonts w:ascii="Calibri" w:eastAsia="Calibri" w:hAnsi="Calibri" w:cs="Calibri"/>
          <w:b w:val="0"/>
          <w:bCs w:val="0"/>
          <w:spacing w:val="-4"/>
          <w:sz w:val="18"/>
          <w:szCs w:val="22"/>
          <w:vertAlign w:val="superscript"/>
        </w:rPr>
        <w:t>4</w:t>
      </w:r>
      <w:r w:rsidR="00FC74EC" w:rsidRPr="00F17144">
        <w:rPr>
          <w:rFonts w:ascii="Calibri" w:eastAsia="Calibri" w:hAnsi="Calibri" w:cs="Calibri"/>
          <w:b w:val="0"/>
          <w:bCs w:val="0"/>
          <w:spacing w:val="-4"/>
          <w:sz w:val="18"/>
          <w:szCs w:val="22"/>
        </w:rPr>
        <w:t xml:space="preserve">. </w:t>
      </w:r>
      <w:r w:rsidRPr="00F17144">
        <w:rPr>
          <w:rFonts w:ascii="Calibri" w:eastAsia="Calibri" w:hAnsi="Calibri" w:cs="Calibri"/>
          <w:b w:val="0"/>
          <w:bCs w:val="0"/>
          <w:spacing w:val="-4"/>
          <w:sz w:val="18"/>
          <w:szCs w:val="22"/>
        </w:rPr>
        <w:t xml:space="preserve">CS3H Lys F </w:t>
      </w:r>
      <w:r w:rsidR="00A86AA8" w:rsidRPr="00F17144">
        <w:rPr>
          <w:rFonts w:ascii="Calibri" w:eastAsia="Calibri" w:hAnsi="Calibri" w:cs="Calibri"/>
          <w:b w:val="0"/>
          <w:bCs w:val="0"/>
          <w:spacing w:val="-4"/>
          <w:sz w:val="18"/>
          <w:szCs w:val="22"/>
        </w:rPr>
        <w:t xml:space="preserve">also </w:t>
      </w:r>
      <w:r w:rsidRPr="00F17144">
        <w:rPr>
          <w:rFonts w:ascii="Calibri" w:eastAsia="Calibri" w:hAnsi="Calibri" w:cs="Calibri"/>
          <w:b w:val="0"/>
          <w:bCs w:val="0"/>
          <w:spacing w:val="-4"/>
          <w:sz w:val="18"/>
          <w:szCs w:val="22"/>
        </w:rPr>
        <w:t>ha</w:t>
      </w:r>
      <w:r w:rsidR="00A86AA8" w:rsidRPr="00F17144">
        <w:rPr>
          <w:rFonts w:ascii="Calibri" w:eastAsia="Calibri" w:hAnsi="Calibri" w:cs="Calibri"/>
          <w:b w:val="0"/>
          <w:bCs w:val="0"/>
          <w:spacing w:val="-4"/>
          <w:sz w:val="18"/>
          <w:szCs w:val="22"/>
        </w:rPr>
        <w:t>d</w:t>
      </w:r>
      <w:r w:rsidRPr="00F17144">
        <w:rPr>
          <w:rFonts w:ascii="Calibri" w:eastAsia="Calibri" w:hAnsi="Calibri" w:cs="Calibri"/>
          <w:b w:val="0"/>
          <w:bCs w:val="0"/>
          <w:spacing w:val="-4"/>
          <w:sz w:val="18"/>
          <w:szCs w:val="22"/>
        </w:rPr>
        <w:t xml:space="preserve"> a 3 to 5-fold lower minimum inhibitory concentration value against </w:t>
      </w:r>
      <w:r w:rsidRPr="00DB007E">
        <w:rPr>
          <w:rFonts w:ascii="Calibri" w:eastAsia="Calibri" w:hAnsi="Calibri" w:cs="Calibri"/>
          <w:b w:val="0"/>
          <w:bCs w:val="0"/>
          <w:i/>
          <w:spacing w:val="-4"/>
          <w:sz w:val="18"/>
          <w:szCs w:val="22"/>
        </w:rPr>
        <w:t xml:space="preserve">S. </w:t>
      </w:r>
      <w:proofErr w:type="spellStart"/>
      <w:r w:rsidRPr="00DB007E">
        <w:rPr>
          <w:rFonts w:ascii="Calibri" w:eastAsia="Calibri" w:hAnsi="Calibri" w:cs="Calibri"/>
          <w:b w:val="0"/>
          <w:bCs w:val="0"/>
          <w:i/>
          <w:spacing w:val="-4"/>
          <w:sz w:val="18"/>
          <w:szCs w:val="22"/>
        </w:rPr>
        <w:t>mutans</w:t>
      </w:r>
      <w:proofErr w:type="spellEnd"/>
      <w:r w:rsidRPr="00F17144">
        <w:rPr>
          <w:rFonts w:ascii="Calibri" w:eastAsia="Calibri" w:hAnsi="Calibri" w:cs="Calibri"/>
          <w:b w:val="0"/>
          <w:bCs w:val="0"/>
          <w:spacing w:val="-4"/>
          <w:sz w:val="18"/>
          <w:szCs w:val="22"/>
        </w:rPr>
        <w:t xml:space="preserve"> than values reported </w:t>
      </w:r>
      <w:r w:rsidR="00A86AA8" w:rsidRPr="00F17144">
        <w:rPr>
          <w:rFonts w:ascii="Calibri" w:eastAsia="Calibri" w:hAnsi="Calibri" w:cs="Calibri"/>
          <w:b w:val="0"/>
          <w:bCs w:val="0"/>
          <w:spacing w:val="-4"/>
          <w:sz w:val="18"/>
          <w:szCs w:val="22"/>
        </w:rPr>
        <w:t xml:space="preserve">in literature </w:t>
      </w:r>
      <w:r w:rsidRPr="00F17144">
        <w:rPr>
          <w:rFonts w:ascii="Calibri" w:eastAsia="Calibri" w:hAnsi="Calibri" w:cs="Calibri"/>
          <w:b w:val="0"/>
          <w:bCs w:val="0"/>
          <w:spacing w:val="-4"/>
          <w:sz w:val="18"/>
          <w:szCs w:val="22"/>
        </w:rPr>
        <w:t xml:space="preserve">for </w:t>
      </w:r>
      <w:r w:rsidR="00A86AA8" w:rsidRPr="00F17144">
        <w:rPr>
          <w:rFonts w:ascii="Calibri" w:eastAsia="Calibri" w:hAnsi="Calibri" w:cs="Calibri"/>
          <w:b w:val="0"/>
          <w:bCs w:val="0"/>
          <w:spacing w:val="-4"/>
          <w:sz w:val="18"/>
          <w:szCs w:val="22"/>
        </w:rPr>
        <w:t xml:space="preserve">other </w:t>
      </w:r>
      <w:r w:rsidRPr="00F17144">
        <w:rPr>
          <w:rFonts w:ascii="Calibri" w:eastAsia="Calibri" w:hAnsi="Calibri" w:cs="Calibri"/>
          <w:b w:val="0"/>
          <w:bCs w:val="0"/>
          <w:spacing w:val="-4"/>
          <w:sz w:val="18"/>
          <w:szCs w:val="22"/>
        </w:rPr>
        <w:t>chitosan polymers</w:t>
      </w:r>
      <w:r w:rsidR="00DB007E">
        <w:rPr>
          <w:rFonts w:ascii="Calibri" w:eastAsia="Calibri" w:hAnsi="Calibri" w:cs="Calibri"/>
          <w:b w:val="0"/>
          <w:bCs w:val="0"/>
          <w:spacing w:val="-4"/>
          <w:sz w:val="18"/>
          <w:szCs w:val="22"/>
          <w:vertAlign w:val="superscript"/>
        </w:rPr>
        <w:t>5</w:t>
      </w:r>
      <w:r w:rsidRPr="00F17144">
        <w:rPr>
          <w:rFonts w:ascii="Calibri" w:eastAsia="Calibri" w:hAnsi="Calibri" w:cs="Calibri"/>
          <w:b w:val="0"/>
          <w:bCs w:val="0"/>
          <w:spacing w:val="-4"/>
          <w:sz w:val="18"/>
          <w:szCs w:val="22"/>
        </w:rPr>
        <w:t xml:space="preserve"> and showed negligible cell toxicity. The mouthwash</w:t>
      </w:r>
      <w:r w:rsidR="00A86AA8" w:rsidRPr="00F17144">
        <w:rPr>
          <w:rFonts w:ascii="Calibri" w:eastAsia="Calibri" w:hAnsi="Calibri" w:cs="Calibri"/>
          <w:b w:val="0"/>
          <w:bCs w:val="0"/>
          <w:spacing w:val="-4"/>
          <w:sz w:val="18"/>
          <w:szCs w:val="22"/>
        </w:rPr>
        <w:t xml:space="preserve"> formulation developed containing the chitosan polymers</w:t>
      </w:r>
      <w:r w:rsidRPr="00F17144">
        <w:rPr>
          <w:rFonts w:ascii="Calibri" w:eastAsia="Calibri" w:hAnsi="Calibri" w:cs="Calibri"/>
          <w:b w:val="0"/>
          <w:bCs w:val="0"/>
          <w:spacing w:val="-4"/>
          <w:sz w:val="18"/>
          <w:szCs w:val="22"/>
        </w:rPr>
        <w:t xml:space="preserve"> w</w:t>
      </w:r>
      <w:r w:rsidR="00A86AA8" w:rsidRPr="00F17144">
        <w:rPr>
          <w:rFonts w:ascii="Calibri" w:eastAsia="Calibri" w:hAnsi="Calibri" w:cs="Calibri"/>
          <w:b w:val="0"/>
          <w:bCs w:val="0"/>
          <w:spacing w:val="-4"/>
          <w:sz w:val="18"/>
          <w:szCs w:val="22"/>
        </w:rPr>
        <w:t>as</w:t>
      </w:r>
      <w:r w:rsidRPr="00F17144">
        <w:rPr>
          <w:rFonts w:ascii="Calibri" w:eastAsia="Calibri" w:hAnsi="Calibri" w:cs="Calibri"/>
          <w:b w:val="0"/>
          <w:bCs w:val="0"/>
          <w:spacing w:val="-4"/>
          <w:sz w:val="18"/>
          <w:szCs w:val="22"/>
        </w:rPr>
        <w:t xml:space="preserve"> stable at both 25 and 40 °C</w:t>
      </w:r>
      <w:r w:rsidR="00A86AA8" w:rsidRPr="00F17144">
        <w:rPr>
          <w:rFonts w:ascii="Calibri" w:eastAsia="Calibri" w:hAnsi="Calibri" w:cs="Calibri"/>
          <w:b w:val="0"/>
          <w:bCs w:val="0"/>
          <w:spacing w:val="-4"/>
          <w:sz w:val="18"/>
          <w:szCs w:val="22"/>
        </w:rPr>
        <w:t xml:space="preserve"> for 6 months</w:t>
      </w:r>
      <w:r w:rsidRPr="00F17144">
        <w:rPr>
          <w:rFonts w:ascii="Calibri" w:eastAsia="Calibri" w:hAnsi="Calibri" w:cs="Calibri"/>
          <w:b w:val="0"/>
          <w:bCs w:val="0"/>
          <w:spacing w:val="-4"/>
          <w:sz w:val="18"/>
          <w:szCs w:val="22"/>
        </w:rPr>
        <w:t>. Further work is under way towards other CS3H Lys F oral hygiene products such as a toothpaste.</w:t>
      </w:r>
      <w:r w:rsidR="00A9710C">
        <w:rPr>
          <w:b w:val="0"/>
        </w:rPr>
        <w:br w:type="column"/>
      </w:r>
      <w:r w:rsidR="00A9710C">
        <w:rPr>
          <w:color w:val="BF5A14"/>
        </w:rPr>
        <w:t>Image</w:t>
      </w:r>
    </w:p>
    <w:p w:rsidR="00AE3E37" w:rsidRDefault="00A11B25">
      <w:pPr>
        <w:pStyle w:val="BodyText"/>
        <w:spacing w:before="2"/>
        <w:rPr>
          <w:rFonts w:ascii="Arial"/>
          <w:b/>
          <w:sz w:val="16"/>
        </w:rPr>
      </w:pPr>
      <w:r>
        <w:rPr>
          <w:rFonts w:ascii="Arial"/>
          <w:b/>
          <w:noProof/>
          <w:sz w:val="16"/>
        </w:rPr>
        <w:drawing>
          <wp:inline distT="0" distB="0" distL="0" distR="0" wp14:anchorId="4F33016B">
            <wp:extent cx="3452919" cy="19882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9834" cy="1997961"/>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DB007E" w:rsidRPr="00DB007E" w:rsidRDefault="00DB007E" w:rsidP="00DB007E">
      <w:pPr>
        <w:pStyle w:val="ListParagraph"/>
        <w:numPr>
          <w:ilvl w:val="0"/>
          <w:numId w:val="5"/>
        </w:numPr>
        <w:spacing w:before="0"/>
        <w:ind w:left="284" w:right="119" w:hanging="284"/>
        <w:rPr>
          <w:rFonts w:asciiTheme="minorHAnsi" w:hAnsiTheme="minorHAnsi" w:cstheme="minorHAnsi"/>
          <w:sz w:val="18"/>
          <w:szCs w:val="18"/>
        </w:rPr>
      </w:pPr>
      <w:proofErr w:type="spellStart"/>
      <w:r w:rsidRPr="00DB007E">
        <w:rPr>
          <w:rFonts w:asciiTheme="minorHAnsi" w:hAnsiTheme="minorHAnsi" w:cstheme="minorHAnsi"/>
          <w:sz w:val="18"/>
          <w:szCs w:val="18"/>
        </w:rPr>
        <w:t>Duangthip</w:t>
      </w:r>
      <w:proofErr w:type="spellEnd"/>
      <w:r w:rsidRPr="00DB007E">
        <w:rPr>
          <w:rFonts w:asciiTheme="minorHAnsi" w:hAnsiTheme="minorHAnsi" w:cstheme="minorHAnsi"/>
          <w:sz w:val="18"/>
          <w:szCs w:val="18"/>
        </w:rPr>
        <w:t xml:space="preserve"> D</w:t>
      </w:r>
      <w:r>
        <w:rPr>
          <w:rFonts w:asciiTheme="minorHAnsi" w:hAnsiTheme="minorHAnsi" w:cstheme="minorHAnsi"/>
          <w:sz w:val="18"/>
          <w:szCs w:val="18"/>
        </w:rPr>
        <w:t>,</w:t>
      </w:r>
      <w:r w:rsidRPr="00DB007E">
        <w:rPr>
          <w:rFonts w:asciiTheme="minorHAnsi" w:hAnsiTheme="minorHAnsi" w:cstheme="minorHAnsi"/>
          <w:sz w:val="18"/>
          <w:szCs w:val="18"/>
        </w:rPr>
        <w:t xml:space="preserve"> Gao SS</w:t>
      </w:r>
      <w:r>
        <w:rPr>
          <w:rFonts w:asciiTheme="minorHAnsi" w:hAnsiTheme="minorHAnsi" w:cstheme="minorHAnsi"/>
          <w:sz w:val="18"/>
          <w:szCs w:val="18"/>
        </w:rPr>
        <w:t>,</w:t>
      </w:r>
      <w:r w:rsidRPr="00DB007E">
        <w:rPr>
          <w:rFonts w:asciiTheme="minorHAnsi" w:hAnsiTheme="minorHAnsi" w:cstheme="minorHAnsi"/>
          <w:sz w:val="18"/>
          <w:szCs w:val="18"/>
        </w:rPr>
        <w:t xml:space="preserve"> Lo ECM</w:t>
      </w:r>
      <w:r>
        <w:rPr>
          <w:rFonts w:asciiTheme="minorHAnsi" w:hAnsiTheme="minorHAnsi" w:cstheme="minorHAnsi"/>
          <w:sz w:val="18"/>
          <w:szCs w:val="18"/>
        </w:rPr>
        <w:t>,</w:t>
      </w:r>
      <w:r w:rsidRPr="00DB007E">
        <w:rPr>
          <w:rFonts w:asciiTheme="minorHAnsi" w:hAnsiTheme="minorHAnsi" w:cstheme="minorHAnsi"/>
          <w:sz w:val="18"/>
          <w:szCs w:val="18"/>
        </w:rPr>
        <w:t xml:space="preserve"> Chu CH</w:t>
      </w:r>
      <w:r>
        <w:rPr>
          <w:rFonts w:asciiTheme="minorHAnsi" w:hAnsiTheme="minorHAnsi" w:cstheme="minorHAnsi"/>
          <w:sz w:val="18"/>
          <w:szCs w:val="18"/>
        </w:rPr>
        <w:t>.</w:t>
      </w:r>
      <w:bookmarkStart w:id="0" w:name="_GoBack"/>
      <w:bookmarkEnd w:id="0"/>
      <w:r w:rsidRPr="00DB007E">
        <w:rPr>
          <w:rFonts w:asciiTheme="minorHAnsi" w:hAnsiTheme="minorHAnsi" w:cstheme="minorHAnsi"/>
          <w:sz w:val="18"/>
          <w:szCs w:val="18"/>
        </w:rPr>
        <w:t xml:space="preserve"> Early childhood caries among 5- to 6-year-old children in Southeast Asia. Int. Dent. J. 2017, 67, 98–106.</w:t>
      </w:r>
    </w:p>
    <w:p w:rsidR="00DB007E" w:rsidRPr="009324F7" w:rsidRDefault="00DB007E" w:rsidP="00DB007E">
      <w:pPr>
        <w:pStyle w:val="ListParagraph"/>
        <w:numPr>
          <w:ilvl w:val="0"/>
          <w:numId w:val="5"/>
        </w:numPr>
        <w:spacing w:before="0"/>
        <w:ind w:left="284" w:right="119" w:hanging="284"/>
        <w:rPr>
          <w:rFonts w:asciiTheme="minorHAnsi" w:hAnsiTheme="minorHAnsi" w:cstheme="minorHAnsi"/>
          <w:sz w:val="18"/>
          <w:szCs w:val="18"/>
        </w:rPr>
      </w:pPr>
      <w:proofErr w:type="spellStart"/>
      <w:r w:rsidRPr="009324F7">
        <w:rPr>
          <w:sz w:val="18"/>
          <w:szCs w:val="18"/>
        </w:rPr>
        <w:t>Rahayu</w:t>
      </w:r>
      <w:proofErr w:type="spellEnd"/>
      <w:r w:rsidRPr="009324F7">
        <w:rPr>
          <w:sz w:val="18"/>
          <w:szCs w:val="18"/>
        </w:rPr>
        <w:t xml:space="preserve"> DP, De Mori A, Yusuf R, </w:t>
      </w:r>
      <w:proofErr w:type="spellStart"/>
      <w:r w:rsidRPr="009324F7">
        <w:rPr>
          <w:sz w:val="18"/>
          <w:szCs w:val="18"/>
        </w:rPr>
        <w:t>Draheim</w:t>
      </w:r>
      <w:proofErr w:type="spellEnd"/>
      <w:r w:rsidRPr="009324F7">
        <w:rPr>
          <w:sz w:val="18"/>
          <w:szCs w:val="18"/>
        </w:rPr>
        <w:t xml:space="preserve"> R, </w:t>
      </w:r>
      <w:proofErr w:type="spellStart"/>
      <w:r w:rsidRPr="009324F7">
        <w:rPr>
          <w:sz w:val="18"/>
          <w:szCs w:val="18"/>
        </w:rPr>
        <w:t>Lalatsa</w:t>
      </w:r>
      <w:proofErr w:type="spellEnd"/>
      <w:r w:rsidRPr="009324F7">
        <w:rPr>
          <w:sz w:val="18"/>
          <w:szCs w:val="18"/>
        </w:rPr>
        <w:t xml:space="preserve"> A, Roldo M. Enhancing the antibacterial effect of chitosan to combat </w:t>
      </w:r>
      <w:proofErr w:type="spellStart"/>
      <w:r w:rsidRPr="009324F7">
        <w:rPr>
          <w:sz w:val="18"/>
          <w:szCs w:val="18"/>
        </w:rPr>
        <w:t>orthopaedic</w:t>
      </w:r>
      <w:proofErr w:type="spellEnd"/>
      <w:r w:rsidRPr="009324F7">
        <w:rPr>
          <w:sz w:val="18"/>
          <w:szCs w:val="18"/>
        </w:rPr>
        <w:t xml:space="preserve"> implant-associated infections. </w:t>
      </w:r>
      <w:proofErr w:type="spellStart"/>
      <w:r w:rsidRPr="00DB007E">
        <w:rPr>
          <w:iCs/>
          <w:sz w:val="18"/>
          <w:szCs w:val="18"/>
        </w:rPr>
        <w:t>Carbohydr</w:t>
      </w:r>
      <w:proofErr w:type="spellEnd"/>
      <w:r w:rsidRPr="00DB007E">
        <w:rPr>
          <w:iCs/>
          <w:sz w:val="18"/>
          <w:szCs w:val="18"/>
        </w:rPr>
        <w:t xml:space="preserve"> </w:t>
      </w:r>
      <w:proofErr w:type="spellStart"/>
      <w:r w:rsidRPr="00DB007E">
        <w:rPr>
          <w:iCs/>
          <w:sz w:val="18"/>
          <w:szCs w:val="18"/>
        </w:rPr>
        <w:t>Polym</w:t>
      </w:r>
      <w:proofErr w:type="spellEnd"/>
      <w:r w:rsidRPr="00DB007E">
        <w:rPr>
          <w:sz w:val="18"/>
          <w:szCs w:val="18"/>
        </w:rPr>
        <w:t>.</w:t>
      </w:r>
      <w:r w:rsidRPr="009324F7">
        <w:rPr>
          <w:sz w:val="18"/>
          <w:szCs w:val="18"/>
        </w:rPr>
        <w:t xml:space="preserve"> </w:t>
      </w:r>
      <w:proofErr w:type="gramStart"/>
      <w:r w:rsidRPr="009324F7">
        <w:rPr>
          <w:sz w:val="18"/>
          <w:szCs w:val="18"/>
        </w:rPr>
        <w:t>2022;289:119385</w:t>
      </w:r>
      <w:proofErr w:type="gramEnd"/>
      <w:r w:rsidRPr="009324F7">
        <w:rPr>
          <w:sz w:val="18"/>
          <w:szCs w:val="18"/>
        </w:rPr>
        <w:t xml:space="preserve">. </w:t>
      </w:r>
    </w:p>
    <w:p w:rsidR="009324F7" w:rsidRDefault="009769AE" w:rsidP="00DB007E">
      <w:pPr>
        <w:pStyle w:val="ListParagraph"/>
        <w:numPr>
          <w:ilvl w:val="0"/>
          <w:numId w:val="5"/>
        </w:numPr>
        <w:spacing w:before="0"/>
        <w:ind w:left="284" w:right="119" w:hanging="284"/>
        <w:rPr>
          <w:rFonts w:asciiTheme="minorHAnsi" w:hAnsiTheme="minorHAnsi" w:cstheme="minorHAnsi"/>
          <w:sz w:val="18"/>
          <w:szCs w:val="18"/>
        </w:rPr>
      </w:pPr>
      <w:proofErr w:type="spellStart"/>
      <w:r w:rsidRPr="009769AE">
        <w:rPr>
          <w:rFonts w:asciiTheme="minorHAnsi" w:hAnsiTheme="minorHAnsi" w:cstheme="minorHAnsi"/>
          <w:sz w:val="18"/>
          <w:szCs w:val="18"/>
        </w:rPr>
        <w:t>Rahayu</w:t>
      </w:r>
      <w:proofErr w:type="spellEnd"/>
      <w:r w:rsidRPr="009769AE">
        <w:rPr>
          <w:rFonts w:asciiTheme="minorHAnsi" w:hAnsiTheme="minorHAnsi" w:cstheme="minorHAnsi"/>
          <w:sz w:val="18"/>
          <w:szCs w:val="18"/>
        </w:rPr>
        <w:t xml:space="preserve"> DP, </w:t>
      </w:r>
      <w:proofErr w:type="spellStart"/>
      <w:r w:rsidRPr="009769AE">
        <w:rPr>
          <w:rFonts w:asciiTheme="minorHAnsi" w:hAnsiTheme="minorHAnsi" w:cstheme="minorHAnsi"/>
          <w:sz w:val="18"/>
          <w:szCs w:val="18"/>
        </w:rPr>
        <w:t>Draheim</w:t>
      </w:r>
      <w:proofErr w:type="spellEnd"/>
      <w:r w:rsidRPr="009769AE">
        <w:rPr>
          <w:rFonts w:asciiTheme="minorHAnsi" w:hAnsiTheme="minorHAnsi" w:cstheme="minorHAnsi"/>
          <w:sz w:val="18"/>
          <w:szCs w:val="18"/>
        </w:rPr>
        <w:t xml:space="preserve"> R, </w:t>
      </w:r>
      <w:proofErr w:type="spellStart"/>
      <w:r w:rsidRPr="009769AE">
        <w:rPr>
          <w:rFonts w:asciiTheme="minorHAnsi" w:hAnsiTheme="minorHAnsi" w:cstheme="minorHAnsi"/>
          <w:sz w:val="18"/>
          <w:szCs w:val="18"/>
        </w:rPr>
        <w:t>Lalatsa</w:t>
      </w:r>
      <w:proofErr w:type="spellEnd"/>
      <w:r w:rsidRPr="009769AE">
        <w:rPr>
          <w:rFonts w:asciiTheme="minorHAnsi" w:hAnsiTheme="minorHAnsi" w:cstheme="minorHAnsi"/>
          <w:sz w:val="18"/>
          <w:szCs w:val="18"/>
        </w:rPr>
        <w:t xml:space="preserve"> A, Roldo M. Harnessing the Antibacterial Properties of Fluoridated Chitosan Polymers against Oral Biofilms. Pharmaceutics. </w:t>
      </w:r>
      <w:r w:rsidR="009324F7">
        <w:rPr>
          <w:rFonts w:asciiTheme="minorHAnsi" w:hAnsiTheme="minorHAnsi" w:cstheme="minorHAnsi"/>
          <w:sz w:val="18"/>
          <w:szCs w:val="18"/>
        </w:rPr>
        <w:t>2022</w:t>
      </w:r>
      <w:r w:rsidRPr="009769AE">
        <w:rPr>
          <w:rFonts w:asciiTheme="minorHAnsi" w:hAnsiTheme="minorHAnsi" w:cstheme="minorHAnsi"/>
          <w:sz w:val="18"/>
          <w:szCs w:val="18"/>
        </w:rPr>
        <w:t>;14(3):488.</w:t>
      </w:r>
    </w:p>
    <w:p w:rsidR="009324F7" w:rsidRDefault="009324F7" w:rsidP="00DB007E">
      <w:pPr>
        <w:pStyle w:val="ListParagraph"/>
        <w:numPr>
          <w:ilvl w:val="0"/>
          <w:numId w:val="5"/>
        </w:numPr>
        <w:spacing w:before="0"/>
        <w:ind w:left="284" w:right="119" w:hanging="284"/>
        <w:rPr>
          <w:rFonts w:asciiTheme="minorHAnsi" w:hAnsiTheme="minorHAnsi" w:cstheme="minorHAnsi"/>
          <w:sz w:val="18"/>
          <w:szCs w:val="18"/>
        </w:rPr>
      </w:pPr>
      <w:r w:rsidRPr="009324F7">
        <w:rPr>
          <w:rFonts w:asciiTheme="minorHAnsi" w:hAnsiTheme="minorHAnsi" w:cstheme="minorHAnsi"/>
          <w:sz w:val="18"/>
          <w:szCs w:val="18"/>
        </w:rPr>
        <w:t>Chow, LC</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Takagi S</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w:t>
      </w:r>
      <w:proofErr w:type="spellStart"/>
      <w:r w:rsidRPr="009324F7">
        <w:rPr>
          <w:rFonts w:asciiTheme="minorHAnsi" w:hAnsiTheme="minorHAnsi" w:cstheme="minorHAnsi"/>
          <w:sz w:val="18"/>
          <w:szCs w:val="18"/>
        </w:rPr>
        <w:t>Frukhtbeyn</w:t>
      </w:r>
      <w:proofErr w:type="spellEnd"/>
      <w:r w:rsidRPr="009324F7">
        <w:rPr>
          <w:rFonts w:asciiTheme="minorHAnsi" w:hAnsiTheme="minorHAnsi" w:cstheme="minorHAnsi"/>
          <w:sz w:val="18"/>
          <w:szCs w:val="18"/>
        </w:rPr>
        <w:t xml:space="preserve"> S</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Sieck BA</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Parry EE</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Liao NS</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Schumacher GE</w:t>
      </w:r>
      <w:r w:rsidR="00DB007E">
        <w:rPr>
          <w:rFonts w:asciiTheme="minorHAnsi" w:hAnsiTheme="minorHAnsi" w:cstheme="minorHAnsi"/>
          <w:sz w:val="18"/>
          <w:szCs w:val="18"/>
        </w:rPr>
        <w:t>,</w:t>
      </w:r>
      <w:r w:rsidRPr="009324F7">
        <w:rPr>
          <w:rFonts w:asciiTheme="minorHAnsi" w:hAnsiTheme="minorHAnsi" w:cstheme="minorHAnsi"/>
          <w:sz w:val="18"/>
          <w:szCs w:val="18"/>
        </w:rPr>
        <w:t xml:space="preserve"> Markovic M. Remineralization Effect</w:t>
      </w:r>
      <w:r>
        <w:rPr>
          <w:rFonts w:asciiTheme="minorHAnsi" w:hAnsiTheme="minorHAnsi" w:cstheme="minorHAnsi"/>
          <w:sz w:val="18"/>
          <w:szCs w:val="18"/>
        </w:rPr>
        <w:t xml:space="preserve"> </w:t>
      </w:r>
      <w:r w:rsidRPr="009324F7">
        <w:rPr>
          <w:rFonts w:asciiTheme="minorHAnsi" w:hAnsiTheme="minorHAnsi" w:cstheme="minorHAnsi"/>
          <w:sz w:val="18"/>
          <w:szCs w:val="18"/>
        </w:rPr>
        <w:t>of a Low-Concentration Fluoride Rinse in an Intraoral Model. Caries Res. 2002, 36, 136–141.</w:t>
      </w:r>
    </w:p>
    <w:p w:rsidR="00DB007E" w:rsidRPr="009324F7" w:rsidRDefault="00DB007E" w:rsidP="00DB007E">
      <w:pPr>
        <w:pStyle w:val="ListParagraph"/>
        <w:numPr>
          <w:ilvl w:val="0"/>
          <w:numId w:val="5"/>
        </w:numPr>
        <w:spacing w:before="0"/>
        <w:ind w:left="284" w:right="119" w:hanging="284"/>
        <w:rPr>
          <w:rFonts w:asciiTheme="minorHAnsi" w:hAnsiTheme="minorHAnsi" w:cstheme="minorHAnsi"/>
          <w:sz w:val="18"/>
          <w:szCs w:val="18"/>
        </w:rPr>
      </w:pPr>
      <w:r w:rsidRPr="00DB007E">
        <w:rPr>
          <w:rFonts w:asciiTheme="minorHAnsi" w:hAnsiTheme="minorHAnsi" w:cstheme="minorHAnsi"/>
          <w:sz w:val="18"/>
          <w:szCs w:val="18"/>
        </w:rPr>
        <w:t>Costa EM</w:t>
      </w:r>
      <w:r>
        <w:rPr>
          <w:rFonts w:asciiTheme="minorHAnsi" w:hAnsiTheme="minorHAnsi" w:cstheme="minorHAnsi"/>
          <w:sz w:val="18"/>
          <w:szCs w:val="18"/>
        </w:rPr>
        <w:t>,</w:t>
      </w:r>
      <w:r w:rsidRPr="00DB007E">
        <w:rPr>
          <w:rFonts w:asciiTheme="minorHAnsi" w:hAnsiTheme="minorHAnsi" w:cstheme="minorHAnsi"/>
          <w:sz w:val="18"/>
          <w:szCs w:val="18"/>
        </w:rPr>
        <w:t xml:space="preserve"> Silva S</w:t>
      </w:r>
      <w:r>
        <w:rPr>
          <w:rFonts w:asciiTheme="minorHAnsi" w:hAnsiTheme="minorHAnsi" w:cstheme="minorHAnsi"/>
          <w:sz w:val="18"/>
          <w:szCs w:val="18"/>
        </w:rPr>
        <w:t>,</w:t>
      </w:r>
      <w:r w:rsidRPr="00DB007E">
        <w:rPr>
          <w:rFonts w:asciiTheme="minorHAnsi" w:hAnsiTheme="minorHAnsi" w:cstheme="minorHAnsi"/>
          <w:sz w:val="18"/>
          <w:szCs w:val="18"/>
        </w:rPr>
        <w:t xml:space="preserve"> Pina C</w:t>
      </w:r>
      <w:r>
        <w:rPr>
          <w:rFonts w:asciiTheme="minorHAnsi" w:hAnsiTheme="minorHAnsi" w:cstheme="minorHAnsi"/>
          <w:sz w:val="18"/>
          <w:szCs w:val="18"/>
        </w:rPr>
        <w:t>,</w:t>
      </w:r>
      <w:r w:rsidRPr="00DB007E">
        <w:rPr>
          <w:rFonts w:asciiTheme="minorHAnsi" w:hAnsiTheme="minorHAnsi" w:cstheme="minorHAnsi"/>
          <w:sz w:val="18"/>
          <w:szCs w:val="18"/>
        </w:rPr>
        <w:t xml:space="preserve"> </w:t>
      </w:r>
      <w:proofErr w:type="spellStart"/>
      <w:r w:rsidRPr="00DB007E">
        <w:rPr>
          <w:rFonts w:asciiTheme="minorHAnsi" w:hAnsiTheme="minorHAnsi" w:cstheme="minorHAnsi"/>
          <w:sz w:val="18"/>
          <w:szCs w:val="18"/>
        </w:rPr>
        <w:t>Tavaria</w:t>
      </w:r>
      <w:proofErr w:type="spellEnd"/>
      <w:r w:rsidRPr="00DB007E">
        <w:rPr>
          <w:rFonts w:asciiTheme="minorHAnsi" w:hAnsiTheme="minorHAnsi" w:cstheme="minorHAnsi"/>
          <w:sz w:val="18"/>
          <w:szCs w:val="18"/>
        </w:rPr>
        <w:t xml:space="preserve"> FK</w:t>
      </w:r>
      <w:r>
        <w:rPr>
          <w:rFonts w:asciiTheme="minorHAnsi" w:hAnsiTheme="minorHAnsi" w:cstheme="minorHAnsi"/>
          <w:sz w:val="18"/>
          <w:szCs w:val="18"/>
        </w:rPr>
        <w:t>,</w:t>
      </w:r>
      <w:r w:rsidRPr="00DB007E">
        <w:rPr>
          <w:rFonts w:asciiTheme="minorHAnsi" w:hAnsiTheme="minorHAnsi" w:cstheme="minorHAnsi"/>
          <w:sz w:val="18"/>
          <w:szCs w:val="18"/>
        </w:rPr>
        <w:t xml:space="preserve"> Pintado MM. Evaluation and insights into chitosan antimicrobial activity against anaerobic oral pathogens. Anaerobe 2012, 18, 305–309.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C164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17144">
        <w:rPr>
          <w:rFonts w:ascii="Arial"/>
          <w:noProof/>
          <w:color w:val="BF5A14"/>
        </w:rPr>
        <w:drawing>
          <wp:inline distT="0" distB="0" distL="0" distR="0" wp14:anchorId="2B707E5F" wp14:editId="15ACDFCD">
            <wp:extent cx="810260" cy="8102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cial Media Square-SAMSHAW_UOP_RIS_DAY8_07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6891" cy="816891"/>
                    </a:xfrm>
                    <a:prstGeom prst="rect">
                      <a:avLst/>
                    </a:prstGeom>
                  </pic:spPr>
                </pic:pic>
              </a:graphicData>
            </a:graphic>
          </wp:inline>
        </w:drawing>
      </w:r>
      <w:r>
        <w:rPr>
          <w:noProof/>
        </w:rPr>
        <w:t xml:space="preserve">  </w:t>
      </w:r>
      <w:r w:rsidR="00A9710C">
        <w:rPr>
          <w:rFonts w:ascii="Arial"/>
          <w:color w:val="BF5A14"/>
        </w:rPr>
        <w:t>Biography</w:t>
      </w:r>
    </w:p>
    <w:p w:rsidR="00AE3E37" w:rsidRDefault="00A86AA8">
      <w:pPr>
        <w:spacing w:before="41" w:line="154" w:lineRule="exact"/>
        <w:ind w:left="213" w:right="231"/>
        <w:jc w:val="both"/>
        <w:rPr>
          <w:rFonts w:ascii="Arial"/>
          <w:sz w:val="14"/>
        </w:rPr>
      </w:pPr>
      <w:r>
        <w:rPr>
          <w:rFonts w:ascii="Arial"/>
          <w:sz w:val="14"/>
        </w:rPr>
        <w:t xml:space="preserve">Dr Marta Roldo is a Reader in Biomaterials at the University of Portsmouth. Her research focuses on the development and characterization of novel biomaterials for biomedical applications. She has developed novel polymeric derivatives with antibacterial and anticoagulant properties, composite hydrogels for tissue regeneration and has an interest in the development of </w:t>
      </w:r>
      <w:proofErr w:type="gramStart"/>
      <w:r>
        <w:rPr>
          <w:rFonts w:ascii="Arial"/>
          <w:sz w:val="14"/>
        </w:rPr>
        <w:t>state of the art</w:t>
      </w:r>
      <w:proofErr w:type="gramEnd"/>
      <w:r>
        <w:rPr>
          <w:rFonts w:ascii="Arial"/>
          <w:sz w:val="14"/>
        </w:rPr>
        <w:t xml:space="preserve"> imaging techniques to visualize oral biofilm and test its removal efficacy using different oral hygiene </w:t>
      </w:r>
      <w:r w:rsidR="00F17144">
        <w:rPr>
          <w:rFonts w:ascii="Arial"/>
          <w:sz w:val="14"/>
        </w:rPr>
        <w:t>strategies</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A11B25" w:rsidRPr="00A11B25">
        <w:rPr>
          <w:rFonts w:ascii="Arial"/>
          <w:sz w:val="14"/>
        </w:rPr>
        <w:t>marta.roldo@port.ac.uk</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6981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376" w:rsidRDefault="00A50376">
      <w:r>
        <w:separator/>
      </w:r>
    </w:p>
  </w:endnote>
  <w:endnote w:type="continuationSeparator" w:id="0">
    <w:p w:rsidR="00A50376" w:rsidRDefault="00A5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376" w:rsidRDefault="00A50376">
      <w:r>
        <w:separator/>
      </w:r>
    </w:p>
  </w:footnote>
  <w:footnote w:type="continuationSeparator" w:id="0">
    <w:p w:rsidR="00A50376" w:rsidRDefault="00A50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C973842"/>
    <w:multiLevelType w:val="hybridMultilevel"/>
    <w:tmpl w:val="270EB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9327B4D"/>
    <w:multiLevelType w:val="hybridMultilevel"/>
    <w:tmpl w:val="3210F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324F7"/>
    <w:rsid w:val="009769AE"/>
    <w:rsid w:val="009B2D44"/>
    <w:rsid w:val="00A07E82"/>
    <w:rsid w:val="00A11B25"/>
    <w:rsid w:val="00A50376"/>
    <w:rsid w:val="00A86AA8"/>
    <w:rsid w:val="00A9710C"/>
    <w:rsid w:val="00AA5A3C"/>
    <w:rsid w:val="00AD0ADD"/>
    <w:rsid w:val="00AE3E37"/>
    <w:rsid w:val="00B21A57"/>
    <w:rsid w:val="00C33602"/>
    <w:rsid w:val="00CD6F55"/>
    <w:rsid w:val="00D62425"/>
    <w:rsid w:val="00D804EA"/>
    <w:rsid w:val="00DB007E"/>
    <w:rsid w:val="00DE3104"/>
    <w:rsid w:val="00F17144"/>
    <w:rsid w:val="00F72EEA"/>
    <w:rsid w:val="00F8136A"/>
    <w:rsid w:val="00F84CAE"/>
    <w:rsid w:val="00FC74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EF2CF"/>
  <w15:docId w15:val="{BE4DD54E-35A6-4056-804D-270DD409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3C279-9D7E-4364-BA75-6357014C1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Marta Roldo</cp:lastModifiedBy>
  <cp:revision>3</cp:revision>
  <dcterms:created xsi:type="dcterms:W3CDTF">2022-05-27T16:02:00Z</dcterms:created>
  <dcterms:modified xsi:type="dcterms:W3CDTF">2022-05-30T10:05:00Z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http://www.zotero.org/styles/osteoarthritis-and-cartilage</vt:lpwstr>
  </property>
  <property fmtid="{D5CDD505-2E9C-101B-9397-08002B2CF9AE}" pid="22" name="Mendeley Recent Style Name 8_1">
    <vt:lpwstr>Osteoarthritis and Cartilage</vt:lpwstr>
  </property>
  <property fmtid="{D5CDD505-2E9C-101B-9397-08002B2CF9AE}" pid="23" name="Mendeley Recent Style Id 9_1">
    <vt:lpwstr>http://www.zotero.org/styles/regenerative-medicine</vt:lpwstr>
  </property>
  <property fmtid="{D5CDD505-2E9C-101B-9397-08002B2CF9AE}" pid="24" name="Mendeley Recent Style Name 9_1">
    <vt:lpwstr>Regenerative Medicine</vt:lpwstr>
  </property>
</Properties>
</file>