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7AE" w:rsidRDefault="00AC57AE" w:rsidP="00AC57AE">
      <w:pPr>
        <w:pStyle w:val="Heading1"/>
        <w:spacing w:before="170"/>
        <w:ind w:left="0"/>
      </w:pPr>
      <w:bookmarkStart w:id="0" w:name="_GoBack"/>
      <w:bookmarkEnd w:id="0"/>
      <w:r>
        <w:rPr>
          <w:color w:val="337AB7"/>
        </w:rPr>
        <w:t>Nasal Geometry –Changes after Maxillary Osteotomies and Corrective Measures</w:t>
      </w:r>
    </w:p>
    <w:p w:rsidR="00AC57AE" w:rsidRDefault="00AC57AE" w:rsidP="00AC57AE">
      <w:pPr>
        <w:pStyle w:val="BodyText"/>
        <w:spacing w:line="198" w:lineRule="exact"/>
        <w:ind w:left="100" w:right="5987"/>
        <w:rPr>
          <w:rFonts w:ascii="Arial"/>
        </w:rPr>
      </w:pPr>
      <w:r>
        <w:rPr>
          <w:rFonts w:ascii="Arial"/>
        </w:rPr>
        <w:t>Dr.Rao Sripathi B. H</w:t>
      </w:r>
      <w:r w:rsidRPr="00213ADA">
        <w:rPr>
          <w:rFonts w:ascii="Arial"/>
          <w:sz w:val="16"/>
        </w:rPr>
        <w:t>.</w:t>
      </w:r>
      <w:r>
        <w:rPr>
          <w:rFonts w:ascii="Arial"/>
          <w:sz w:val="16"/>
        </w:rPr>
        <w:t>,</w:t>
      </w:r>
      <w:r w:rsidRPr="00213ADA">
        <w:rPr>
          <w:rFonts w:ascii="Arial"/>
          <w:sz w:val="14"/>
        </w:rPr>
        <w:t>B.D.S, M.D.S</w:t>
      </w:r>
      <w:r>
        <w:rPr>
          <w:rFonts w:ascii="Arial"/>
        </w:rPr>
        <w:t xml:space="preserve">, </w:t>
      </w:r>
    </w:p>
    <w:p w:rsidR="00AC57AE" w:rsidRDefault="00AC57AE" w:rsidP="00AC57AE">
      <w:pPr>
        <w:pStyle w:val="BodyText"/>
        <w:spacing w:line="198" w:lineRule="exact"/>
        <w:ind w:left="100" w:right="5987"/>
        <w:rPr>
          <w:rFonts w:ascii="Arial"/>
        </w:rPr>
      </w:pPr>
      <w:r>
        <w:rPr>
          <w:rFonts w:ascii="Arial"/>
        </w:rPr>
        <w:t>Dean, Yenepoya Dental College, Mangalore, Karnataka, India</w:t>
      </w:r>
    </w:p>
    <w:p w:rsidR="00AC57AE" w:rsidRDefault="00AC57AE" w:rsidP="00AC57AE">
      <w:pPr>
        <w:rPr>
          <w:rFonts w:ascii="Arial"/>
          <w:sz w:val="21"/>
        </w:rPr>
        <w:sectPr w:rsidR="00AC57AE">
          <w:headerReference w:type="default" r:id="rId7"/>
          <w:footerReference w:type="default" r:id="rId8"/>
          <w:type w:val="continuous"/>
          <w:pgSz w:w="11910" w:h="16840"/>
          <w:pgMar w:top="1740" w:right="600" w:bottom="840" w:left="620" w:header="541" w:footer="642" w:gutter="0"/>
          <w:cols w:space="720"/>
        </w:sectPr>
      </w:pPr>
    </w:p>
    <w:p w:rsidR="00AC57AE" w:rsidRDefault="00AC57AE" w:rsidP="00AC57AE">
      <w:pPr>
        <w:pStyle w:val="Heading3"/>
        <w:spacing w:before="147"/>
        <w:jc w:val="both"/>
      </w:pPr>
      <w:r>
        <w:rPr>
          <w:color w:val="BF5A14"/>
        </w:rPr>
        <w:lastRenderedPageBreak/>
        <w:t>Abstract</w:t>
      </w:r>
    </w:p>
    <w:p w:rsidR="00AC57AE" w:rsidRPr="00385986" w:rsidRDefault="00AC57AE" w:rsidP="00AC57AE">
      <w:pPr>
        <w:pStyle w:val="BodyText"/>
        <w:spacing w:line="280" w:lineRule="auto"/>
        <w:ind w:left="100"/>
        <w:jc w:val="both"/>
      </w:pPr>
      <w:r>
        <w:rPr>
          <w:noProof/>
          <w:lang w:val="en-GB" w:eastAsia="en-GB"/>
        </w:rPr>
        <w:drawing>
          <wp:anchor distT="0" distB="0" distL="114300" distR="114300" simplePos="0" relativeHeight="251659264" behindDoc="0" locked="0" layoutInCell="1" allowOverlap="1">
            <wp:simplePos x="0" y="0"/>
            <wp:positionH relativeFrom="column">
              <wp:posOffset>3609340</wp:posOffset>
            </wp:positionH>
            <wp:positionV relativeFrom="paragraph">
              <wp:posOffset>20955</wp:posOffset>
            </wp:positionV>
            <wp:extent cx="2451100" cy="1724025"/>
            <wp:effectExtent l="0" t="0" r="0" b="0"/>
            <wp:wrapSquare wrapText="bothSides"/>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l="40194" t="22315" r="23091" b="31458"/>
                    <a:stretch>
                      <a:fillRect/>
                    </a:stretch>
                  </pic:blipFill>
                  <pic:spPr bwMode="auto">
                    <a:xfrm>
                      <a:off x="0" y="0"/>
                      <a:ext cx="2451100" cy="1724025"/>
                    </a:xfrm>
                    <a:prstGeom prst="rect">
                      <a:avLst/>
                    </a:prstGeom>
                    <a:noFill/>
                    <a:ln w="9525">
                      <a:noFill/>
                      <a:miter lim="800000"/>
                      <a:headEnd/>
                      <a:tailEnd/>
                    </a:ln>
                  </pic:spPr>
                </pic:pic>
              </a:graphicData>
            </a:graphic>
          </wp:anchor>
        </w:drawing>
      </w:r>
      <w:r>
        <w:t>The primary objective of all orthognathic surgeries inconjuction with proper occlusion is to improve facial esthetics A change in Nasal Geometry after Maxillary osteotomy is a common pertinent problem encountered by all maxillofacial surgeons.</w:t>
      </w:r>
      <w:r w:rsidRPr="00385986">
        <w:t>With changes in the facial skeleton following surgery, the facial drapes adapts to the new changes in the supporting skeleton in a manner that is not always uniform.  This is because the soft tissue drapes varies in thickness and tone from region to region and from individual to individual.</w:t>
      </w:r>
    </w:p>
    <w:p w:rsidR="00AC57AE" w:rsidRPr="00385986" w:rsidRDefault="00AC57AE" w:rsidP="00AC57AE">
      <w:pPr>
        <w:pStyle w:val="BodyText"/>
        <w:spacing w:line="280" w:lineRule="auto"/>
        <w:ind w:left="100"/>
        <w:jc w:val="both"/>
      </w:pPr>
      <w:r w:rsidRPr="00385986">
        <w:t xml:space="preserve">Firmly attached soft tissues exhibit more consistent changes while unattached tissues show less consistent changes due to their resiliency and elasticity.  </w:t>
      </w:r>
    </w:p>
    <w:p w:rsidR="00AC57AE" w:rsidRDefault="00AC57AE" w:rsidP="00AC57AE">
      <w:pPr>
        <w:pStyle w:val="BodyText"/>
        <w:spacing w:line="280" w:lineRule="auto"/>
        <w:ind w:left="100"/>
        <w:jc w:val="both"/>
      </w:pPr>
      <w:r>
        <w:t xml:space="preserve">The type and magnitude of the Neo- Skeletal position creates nasolabial changes which is a challenging clinical situation to handle as it is not always predictable. The changes can range from elevation or depression of the nasal tip, increase in the nasolabial angle and increase in the alar base width. </w:t>
      </w:r>
    </w:p>
    <w:p w:rsidR="00AC57AE" w:rsidRPr="00385986" w:rsidRDefault="00AC57AE" w:rsidP="00AC57AE">
      <w:pPr>
        <w:pStyle w:val="BodyText"/>
        <w:spacing w:line="280" w:lineRule="auto"/>
        <w:ind w:left="100"/>
        <w:jc w:val="both"/>
      </w:pPr>
      <w:r>
        <w:t>In our study, we analyzed the efficacy of the adjunctive procedures like Alar cinch Suturing, Piriformplasty and septal grooving alone and in combination after Vertical repositioning of the Maxilla. This paper discusses the reasons of changes in nasal geometry after maxillary osteotomy and draws a consensus in protocol building for corrective measures in nasal changes after maxillary osteotomies, particularly after superior repositioning</w:t>
      </w:r>
    </w:p>
    <w:p w:rsidR="00AC57AE" w:rsidRDefault="00AC57AE" w:rsidP="00AC57AE">
      <w:pPr>
        <w:pStyle w:val="Heading3"/>
        <w:spacing w:before="74"/>
        <w:ind w:left="0"/>
      </w:pPr>
      <w:r>
        <w:rPr>
          <w:b w:val="0"/>
        </w:rPr>
        <w:br w:type="column"/>
      </w:r>
      <w:r>
        <w:rPr>
          <w:color w:val="BF5A14"/>
        </w:rPr>
        <w:lastRenderedPageBreak/>
        <w:t>Image</w:t>
      </w:r>
    </w:p>
    <w:p w:rsidR="00AC57AE" w:rsidRDefault="00AC57AE" w:rsidP="00AC57AE">
      <w:pPr>
        <w:pStyle w:val="BodyText"/>
        <w:spacing w:before="2"/>
        <w:rPr>
          <w:rFonts w:ascii="Arial"/>
          <w:b/>
          <w:sz w:val="16"/>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spacing w:line="204" w:lineRule="exact"/>
        <w:rPr>
          <w:rFonts w:ascii="Arial"/>
          <w:b/>
          <w:color w:val="BF5A14"/>
          <w:sz w:val="20"/>
        </w:rPr>
      </w:pPr>
    </w:p>
    <w:p w:rsidR="00AC57AE" w:rsidRDefault="00AC57AE" w:rsidP="00AC57AE">
      <w:pPr>
        <w:rPr>
          <w:rFonts w:ascii="Arial"/>
          <w:b/>
          <w:sz w:val="20"/>
        </w:rPr>
      </w:pPr>
      <w:r>
        <w:rPr>
          <w:rFonts w:ascii="Arial"/>
          <w:b/>
          <w:color w:val="BF5A14"/>
          <w:sz w:val="20"/>
        </w:rPr>
        <w:br/>
        <w:t xml:space="preserve">Recent Publications </w:t>
      </w:r>
    </w:p>
    <w:p w:rsidR="00AC57AE" w:rsidRDefault="00AC57AE" w:rsidP="00AC57AE">
      <w:pPr>
        <w:jc w:val="both"/>
        <w:rPr>
          <w:rStyle w:val="mixed-citation"/>
          <w:color w:val="000000"/>
          <w:sz w:val="18"/>
          <w:szCs w:val="18"/>
          <w:shd w:val="clear" w:color="auto" w:fill="FFFFFF"/>
        </w:rPr>
      </w:pPr>
      <w:r>
        <w:rPr>
          <w:color w:val="000000"/>
          <w:sz w:val="18"/>
          <w:szCs w:val="18"/>
          <w:shd w:val="clear" w:color="auto" w:fill="FFFFFF"/>
        </w:rPr>
        <w:t>1. </w:t>
      </w:r>
      <w:r>
        <w:rPr>
          <w:rStyle w:val="mixed-citation"/>
          <w:color w:val="000000"/>
          <w:sz w:val="18"/>
          <w:szCs w:val="18"/>
          <w:shd w:val="clear" w:color="auto" w:fill="FFFFFF"/>
        </w:rPr>
        <w:t>Warner JP, Chauhan N, Adamson PA. </w:t>
      </w:r>
      <w:r>
        <w:rPr>
          <w:rStyle w:val="ref-title"/>
          <w:color w:val="000000"/>
          <w:sz w:val="18"/>
          <w:szCs w:val="18"/>
          <w:shd w:val="clear" w:color="auto" w:fill="FFFFFF"/>
        </w:rPr>
        <w:t>Alar soft-tissue techniques in rhinoplasty: algorithmic approach, quantifiable guidelines, and scar outcomes from a single surgeon experience</w:t>
      </w:r>
      <w:r>
        <w:rPr>
          <w:rStyle w:val="mixed-citation"/>
          <w:color w:val="000000"/>
          <w:sz w:val="18"/>
          <w:szCs w:val="18"/>
          <w:shd w:val="clear" w:color="auto" w:fill="FFFFFF"/>
        </w:rPr>
        <w:t>. </w:t>
      </w:r>
      <w:r>
        <w:rPr>
          <w:rStyle w:val="ref-journal"/>
          <w:color w:val="000000"/>
          <w:sz w:val="18"/>
          <w:szCs w:val="18"/>
          <w:shd w:val="clear" w:color="auto" w:fill="FFFFFF"/>
        </w:rPr>
        <w:t>Arch Facial Plast Surg</w:t>
      </w:r>
      <w:r>
        <w:rPr>
          <w:rStyle w:val="mixed-citation"/>
          <w:color w:val="000000"/>
          <w:sz w:val="18"/>
          <w:szCs w:val="18"/>
          <w:shd w:val="clear" w:color="auto" w:fill="FFFFFF"/>
        </w:rPr>
        <w:t>. 2010. May-Jun;</w:t>
      </w:r>
      <w:r>
        <w:rPr>
          <w:rStyle w:val="ref-vol"/>
          <w:color w:val="000000"/>
          <w:sz w:val="18"/>
          <w:szCs w:val="18"/>
          <w:shd w:val="clear" w:color="auto" w:fill="FFFFFF"/>
        </w:rPr>
        <w:t>12</w:t>
      </w:r>
      <w:r>
        <w:rPr>
          <w:rStyle w:val="mixed-citation"/>
          <w:color w:val="000000"/>
          <w:sz w:val="18"/>
          <w:szCs w:val="18"/>
          <w:shd w:val="clear" w:color="auto" w:fill="FFFFFF"/>
        </w:rPr>
        <w:t>(</w:t>
      </w:r>
      <w:r>
        <w:rPr>
          <w:rStyle w:val="ref-iss"/>
          <w:color w:val="000000"/>
          <w:sz w:val="18"/>
          <w:szCs w:val="18"/>
          <w:shd w:val="clear" w:color="auto" w:fill="FFFFFF"/>
        </w:rPr>
        <w:t>3</w:t>
      </w:r>
      <w:r>
        <w:rPr>
          <w:rStyle w:val="mixed-citation"/>
          <w:color w:val="000000"/>
          <w:sz w:val="18"/>
          <w:szCs w:val="18"/>
          <w:shd w:val="clear" w:color="auto" w:fill="FFFFFF"/>
        </w:rPr>
        <w:t>):149–58. 10.1001/archfacial.2010.30 </w:t>
      </w:r>
    </w:p>
    <w:p w:rsidR="00AC57AE" w:rsidRDefault="00AC57AE" w:rsidP="00AC57AE">
      <w:pPr>
        <w:jc w:val="both"/>
        <w:rPr>
          <w:color w:val="000000"/>
          <w:sz w:val="18"/>
          <w:szCs w:val="18"/>
          <w:shd w:val="clear" w:color="auto" w:fill="FFFFFF"/>
        </w:rPr>
      </w:pPr>
      <w:r>
        <w:rPr>
          <w:rStyle w:val="mixed-citation"/>
          <w:color w:val="000000"/>
          <w:sz w:val="18"/>
          <w:szCs w:val="18"/>
          <w:shd w:val="clear" w:color="auto" w:fill="FFFFFF"/>
        </w:rPr>
        <w:t>2.</w:t>
      </w:r>
      <w:r>
        <w:rPr>
          <w:color w:val="000000"/>
          <w:sz w:val="18"/>
          <w:szCs w:val="18"/>
          <w:shd w:val="clear" w:color="auto" w:fill="FFFFFF"/>
        </w:rPr>
        <w:t>Manisali M, Khamashta-Ledezma L. </w:t>
      </w:r>
      <w:r>
        <w:rPr>
          <w:rStyle w:val="ref-journal"/>
          <w:color w:val="000000"/>
          <w:sz w:val="18"/>
          <w:szCs w:val="18"/>
          <w:shd w:val="clear" w:color="auto" w:fill="FFFFFF"/>
        </w:rPr>
        <w:t>Rhinoplasty and nasal changes in relation to orthognathic surgery</w:t>
      </w:r>
      <w:r>
        <w:rPr>
          <w:color w:val="000000"/>
          <w:sz w:val="18"/>
          <w:szCs w:val="18"/>
          <w:shd w:val="clear" w:color="auto" w:fill="FFFFFF"/>
        </w:rPr>
        <w:t>. Oxford: Wiley- Blackwell; 2017. pp. 724–38.</w:t>
      </w:r>
    </w:p>
    <w:p w:rsidR="00AC57AE" w:rsidRDefault="00AC57AE" w:rsidP="00AC57AE">
      <w:pPr>
        <w:jc w:val="both"/>
        <w:rPr>
          <w:color w:val="000000"/>
          <w:sz w:val="18"/>
          <w:szCs w:val="18"/>
          <w:shd w:val="clear" w:color="auto" w:fill="FFFFFF"/>
        </w:rPr>
      </w:pPr>
      <w:r>
        <w:rPr>
          <w:color w:val="000000"/>
          <w:sz w:val="18"/>
          <w:szCs w:val="18"/>
          <w:shd w:val="clear" w:color="auto" w:fill="FFFFFF"/>
        </w:rPr>
        <w:t>3. Liu X, Zhu S, Hu J. </w:t>
      </w:r>
      <w:r>
        <w:rPr>
          <w:rStyle w:val="ref-title"/>
          <w:color w:val="000000"/>
          <w:sz w:val="18"/>
          <w:szCs w:val="18"/>
          <w:shd w:val="clear" w:color="auto" w:fill="FFFFFF"/>
        </w:rPr>
        <w:t>Modified versus classic alar base sutures after LeFort I osteotomy: a systematic review</w:t>
      </w:r>
      <w:r>
        <w:rPr>
          <w:color w:val="000000"/>
          <w:sz w:val="18"/>
          <w:szCs w:val="18"/>
          <w:shd w:val="clear" w:color="auto" w:fill="FFFFFF"/>
        </w:rPr>
        <w:t>. </w:t>
      </w:r>
      <w:r>
        <w:rPr>
          <w:rStyle w:val="ref-journal"/>
          <w:color w:val="000000"/>
          <w:sz w:val="18"/>
          <w:szCs w:val="18"/>
          <w:shd w:val="clear" w:color="auto" w:fill="FFFFFF"/>
        </w:rPr>
        <w:t>Oral Surg Oral Med Oral Pathol Oral Radiol</w:t>
      </w:r>
      <w:r>
        <w:rPr>
          <w:color w:val="000000"/>
          <w:sz w:val="18"/>
          <w:szCs w:val="18"/>
          <w:shd w:val="clear" w:color="auto" w:fill="FFFFFF"/>
        </w:rPr>
        <w:t>. 2014. January;</w:t>
      </w:r>
      <w:r>
        <w:rPr>
          <w:rStyle w:val="ref-vol"/>
          <w:color w:val="000000"/>
          <w:sz w:val="18"/>
          <w:szCs w:val="18"/>
          <w:shd w:val="clear" w:color="auto" w:fill="FFFFFF"/>
        </w:rPr>
        <w:t>117</w:t>
      </w:r>
      <w:r>
        <w:rPr>
          <w:color w:val="000000"/>
          <w:sz w:val="18"/>
          <w:szCs w:val="18"/>
          <w:shd w:val="clear" w:color="auto" w:fill="FFFFFF"/>
        </w:rPr>
        <w:t>(</w:t>
      </w:r>
      <w:r>
        <w:rPr>
          <w:rStyle w:val="ref-iss"/>
          <w:color w:val="000000"/>
          <w:sz w:val="18"/>
          <w:szCs w:val="18"/>
          <w:shd w:val="clear" w:color="auto" w:fill="FFFFFF"/>
        </w:rPr>
        <w:t>1</w:t>
      </w:r>
      <w:r>
        <w:rPr>
          <w:color w:val="000000"/>
          <w:sz w:val="18"/>
          <w:szCs w:val="18"/>
          <w:shd w:val="clear" w:color="auto" w:fill="FFFFFF"/>
        </w:rPr>
        <w:t>):37–44. 10.1016/j.oooo.2013.09.002</w:t>
      </w:r>
    </w:p>
    <w:p w:rsidR="00AC57AE" w:rsidRDefault="00AC57AE" w:rsidP="00AC57AE">
      <w:pPr>
        <w:jc w:val="both"/>
        <w:rPr>
          <w:rStyle w:val="mixed-citation"/>
          <w:color w:val="000000"/>
          <w:sz w:val="18"/>
          <w:szCs w:val="18"/>
          <w:shd w:val="clear" w:color="auto" w:fill="FFFFFF"/>
        </w:rPr>
      </w:pPr>
      <w:r>
        <w:rPr>
          <w:color w:val="000000"/>
          <w:sz w:val="18"/>
          <w:szCs w:val="18"/>
          <w:shd w:val="clear" w:color="auto" w:fill="FFFFFF"/>
        </w:rPr>
        <w:t>4.  </w:t>
      </w:r>
      <w:r>
        <w:rPr>
          <w:rStyle w:val="mixed-citation"/>
          <w:color w:val="000000"/>
          <w:sz w:val="18"/>
          <w:szCs w:val="18"/>
          <w:shd w:val="clear" w:color="auto" w:fill="FFFFFF"/>
        </w:rPr>
        <w:t>Rauso R, Tartaro G, Tozzi U, Colella G, Santagata M. </w:t>
      </w:r>
      <w:r>
        <w:rPr>
          <w:rStyle w:val="ref-title"/>
          <w:color w:val="000000"/>
          <w:sz w:val="18"/>
          <w:szCs w:val="18"/>
          <w:shd w:val="clear" w:color="auto" w:fill="FFFFFF"/>
        </w:rPr>
        <w:t>Nasolabial changes after maxillary advancement</w:t>
      </w:r>
      <w:r>
        <w:rPr>
          <w:rStyle w:val="mixed-citation"/>
          <w:color w:val="000000"/>
          <w:sz w:val="18"/>
          <w:szCs w:val="18"/>
          <w:shd w:val="clear" w:color="auto" w:fill="FFFFFF"/>
        </w:rPr>
        <w:t>. </w:t>
      </w:r>
      <w:r>
        <w:rPr>
          <w:rStyle w:val="ref-journal"/>
          <w:color w:val="000000"/>
          <w:sz w:val="18"/>
          <w:szCs w:val="18"/>
          <w:shd w:val="clear" w:color="auto" w:fill="FFFFFF"/>
        </w:rPr>
        <w:t>J Craniofac Surg</w:t>
      </w:r>
      <w:r>
        <w:rPr>
          <w:rStyle w:val="mixed-citation"/>
          <w:color w:val="000000"/>
          <w:sz w:val="18"/>
          <w:szCs w:val="18"/>
          <w:shd w:val="clear" w:color="auto" w:fill="FFFFFF"/>
        </w:rPr>
        <w:t>. 2011. May;</w:t>
      </w:r>
      <w:r>
        <w:rPr>
          <w:rStyle w:val="ref-vol"/>
          <w:color w:val="000000"/>
          <w:sz w:val="18"/>
          <w:szCs w:val="18"/>
          <w:shd w:val="clear" w:color="auto" w:fill="FFFFFF"/>
        </w:rPr>
        <w:t>22</w:t>
      </w:r>
      <w:r>
        <w:rPr>
          <w:rStyle w:val="mixed-citation"/>
          <w:color w:val="000000"/>
          <w:sz w:val="18"/>
          <w:szCs w:val="18"/>
          <w:shd w:val="clear" w:color="auto" w:fill="FFFFFF"/>
        </w:rPr>
        <w:t>(</w:t>
      </w:r>
      <w:r>
        <w:rPr>
          <w:rStyle w:val="ref-iss"/>
          <w:color w:val="000000"/>
          <w:sz w:val="18"/>
          <w:szCs w:val="18"/>
          <w:shd w:val="clear" w:color="auto" w:fill="FFFFFF"/>
        </w:rPr>
        <w:t>3</w:t>
      </w:r>
      <w:r>
        <w:rPr>
          <w:rStyle w:val="mixed-citation"/>
          <w:color w:val="000000"/>
          <w:sz w:val="18"/>
          <w:szCs w:val="18"/>
          <w:shd w:val="clear" w:color="auto" w:fill="FFFFFF"/>
        </w:rPr>
        <w:t>):809–12. 10.1097/SCS.0b013e31820f3663</w:t>
      </w:r>
    </w:p>
    <w:p w:rsidR="00AC57AE" w:rsidRPr="00EF0006" w:rsidRDefault="00AC57AE" w:rsidP="00AC57AE">
      <w:pPr>
        <w:jc w:val="both"/>
        <w:rPr>
          <w:rFonts w:cs="Arial"/>
          <w:sz w:val="18"/>
          <w:szCs w:val="18"/>
          <w:shd w:val="clear" w:color="auto" w:fill="FFFFFF"/>
        </w:rPr>
        <w:sectPr w:rsidR="00AC57AE" w:rsidRPr="00EF0006">
          <w:type w:val="continuous"/>
          <w:pgSz w:w="11910" w:h="16840"/>
          <w:pgMar w:top="1740" w:right="600" w:bottom="840" w:left="620" w:header="720" w:footer="720" w:gutter="0"/>
          <w:cols w:num="2" w:space="720" w:equalWidth="0">
            <w:col w:w="5214" w:space="138"/>
            <w:col w:w="5338"/>
          </w:cols>
        </w:sectPr>
      </w:pPr>
      <w:r w:rsidRPr="00EF0006">
        <w:rPr>
          <w:sz w:val="18"/>
          <w:szCs w:val="18"/>
        </w:rPr>
        <w:t xml:space="preserve">5. </w:t>
      </w:r>
      <w:r w:rsidRPr="00EF0006">
        <w:rPr>
          <w:rFonts w:cs="Arial"/>
          <w:bCs/>
          <w:color w:val="000000"/>
          <w:sz w:val="18"/>
          <w:szCs w:val="18"/>
        </w:rPr>
        <w:t>Review of nasal changes with maxillary orthognathic surgery</w:t>
      </w:r>
      <w:hyperlink r:id="rId10" w:history="1">
        <w:r w:rsidRPr="00EF0006">
          <w:rPr>
            <w:rStyle w:val="Hyperlink"/>
            <w:rFonts w:cs="Arial"/>
            <w:color w:val="auto"/>
            <w:sz w:val="18"/>
            <w:szCs w:val="18"/>
            <w:u w:val="none"/>
            <w:shd w:val="clear" w:color="auto" w:fill="FFFFFF"/>
          </w:rPr>
          <w:t>Leila Khamashta-Ledezma</w:t>
        </w:r>
      </w:hyperlink>
      <w:r w:rsidRPr="00EF0006">
        <w:rPr>
          <w:rFonts w:cs="Arial"/>
          <w:sz w:val="18"/>
          <w:szCs w:val="18"/>
          <w:shd w:val="clear" w:color="auto" w:fill="FFFFFF"/>
        </w:rPr>
        <w:t>, </w:t>
      </w:r>
      <w:hyperlink r:id="rId11" w:history="1">
        <w:r>
          <w:rPr>
            <w:rStyle w:val="Hyperlink"/>
            <w:rFonts w:cs="Arial"/>
            <w:color w:val="auto"/>
            <w:sz w:val="18"/>
            <w:szCs w:val="18"/>
            <w:u w:val="none"/>
            <w:shd w:val="clear" w:color="auto" w:fill="FFFFFF"/>
          </w:rPr>
          <w:t>Farhad</w:t>
        </w:r>
        <w:r w:rsidRPr="00EF0006">
          <w:rPr>
            <w:rStyle w:val="Hyperlink"/>
            <w:rFonts w:cs="Arial"/>
            <w:color w:val="auto"/>
            <w:sz w:val="18"/>
            <w:szCs w:val="18"/>
            <w:u w:val="none"/>
            <w:shd w:val="clear" w:color="auto" w:fill="FFFFFF"/>
          </w:rPr>
          <w:t>B.Naini</w:t>
        </w:r>
      </w:hyperlink>
      <w:r w:rsidRPr="00EF0006">
        <w:rPr>
          <w:rFonts w:cs="Arial"/>
          <w:sz w:val="18"/>
          <w:szCs w:val="18"/>
          <w:shd w:val="clear" w:color="auto" w:fill="FFFFFF"/>
        </w:rPr>
        <w:t> and </w:t>
      </w:r>
      <w:hyperlink r:id="rId12" w:history="1">
        <w:r>
          <w:rPr>
            <w:rStyle w:val="Hyperlink"/>
            <w:rFonts w:cs="Arial"/>
            <w:color w:val="auto"/>
            <w:sz w:val="18"/>
            <w:szCs w:val="18"/>
            <w:u w:val="none"/>
            <w:shd w:val="clear" w:color="auto" w:fill="FFFFFF"/>
          </w:rPr>
          <w:t>Mehmet</w:t>
        </w:r>
        <w:r w:rsidRPr="00EF0006">
          <w:rPr>
            <w:rStyle w:val="Hyperlink"/>
            <w:rFonts w:cs="Arial"/>
            <w:color w:val="auto"/>
            <w:sz w:val="18"/>
            <w:szCs w:val="18"/>
            <w:u w:val="none"/>
            <w:shd w:val="clear" w:color="auto" w:fill="FFFFFF"/>
          </w:rPr>
          <w:t>Manisali</w:t>
        </w:r>
      </w:hyperlink>
      <w:r>
        <w:rPr>
          <w:sz w:val="18"/>
          <w:szCs w:val="18"/>
        </w:rPr>
        <w:t>,</w:t>
      </w:r>
      <w:hyperlink r:id="rId13" w:history="1">
        <w:r>
          <w:rPr>
            <w:rStyle w:val="Hyperlink"/>
            <w:rFonts w:cs="Arial"/>
            <w:color w:val="auto"/>
            <w:sz w:val="18"/>
            <w:szCs w:val="18"/>
            <w:u w:val="none"/>
            <w:shd w:val="clear" w:color="auto" w:fill="FFFFFF"/>
          </w:rPr>
          <w:t>J IstanbUnivFac</w:t>
        </w:r>
        <w:r w:rsidRPr="00EF0006">
          <w:rPr>
            <w:rStyle w:val="Hyperlink"/>
            <w:rFonts w:cs="Arial"/>
            <w:color w:val="auto"/>
            <w:sz w:val="18"/>
            <w:szCs w:val="18"/>
            <w:u w:val="none"/>
            <w:shd w:val="clear" w:color="auto" w:fill="FFFFFF"/>
          </w:rPr>
          <w:t>Dent</w:t>
        </w:r>
      </w:hyperlink>
      <w:r w:rsidRPr="00EF0006">
        <w:rPr>
          <w:rFonts w:cs="Arial"/>
          <w:sz w:val="18"/>
          <w:szCs w:val="18"/>
          <w:shd w:val="clear" w:color="auto" w:fill="FFFFFF"/>
        </w:rPr>
        <w:t>. 2017; 51(3 Suppl 1): S52–S61.</w:t>
      </w:r>
    </w:p>
    <w:p w:rsidR="00AC57AE" w:rsidRDefault="00AC57AE" w:rsidP="00AC57AE">
      <w:pPr>
        <w:pStyle w:val="BodyText"/>
        <w:rPr>
          <w:b/>
        </w:rPr>
      </w:pPr>
    </w:p>
    <w:p w:rsidR="00AC57AE" w:rsidRPr="00EF0006" w:rsidRDefault="00AC57AE" w:rsidP="00AC57AE">
      <w:pPr>
        <w:pStyle w:val="BodyText"/>
        <w:spacing w:line="40" w:lineRule="exact"/>
        <w:ind w:left="2202"/>
        <w:rPr>
          <w:rFonts w:ascii="Calibri"/>
          <w:sz w:val="4"/>
        </w:rPr>
      </w:pPr>
      <w:r w:rsidRPr="00EF6EDA">
        <w:rPr>
          <w:rFonts w:ascii="Calibri"/>
          <w:noProof/>
          <w:sz w:val="4"/>
          <w:lang w:val="en-IN" w:eastAsia="en-IN"/>
        </w:rPr>
      </w:r>
      <w:r w:rsidRPr="00EF6EDA">
        <w:rPr>
          <w:rFonts w:ascii="Calibri"/>
          <w:noProof/>
          <w:sz w:val="4"/>
          <w:lang w:val="en-IN" w:eastAsia="en-IN"/>
        </w:rPr>
        <w:pict>
          <v:group id="Group 4" o:spid="_x0000_s1029"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C57AE" w:rsidRPr="00EF0006" w:rsidRDefault="00AC57AE" w:rsidP="00AC57AE">
      <w:pPr>
        <w:spacing w:before="92"/>
        <w:ind w:right="4234"/>
        <w:rPr>
          <w:noProof/>
        </w:rPr>
      </w:pPr>
    </w:p>
    <w:p w:rsidR="00AC57AE" w:rsidRDefault="00AC57AE" w:rsidP="00AC57AE">
      <w:pPr>
        <w:spacing w:before="92"/>
        <w:ind w:right="4234"/>
        <w:rPr>
          <w:noProof/>
        </w:rPr>
      </w:pPr>
      <w:r>
        <w:rPr>
          <w:noProof/>
          <w:lang w:val="en-GB" w:eastAsia="en-GB"/>
        </w:rPr>
        <w:drawing>
          <wp:anchor distT="0" distB="0" distL="114300" distR="114300" simplePos="0" relativeHeight="251660288" behindDoc="0" locked="0" layoutInCell="1" allowOverlap="1">
            <wp:simplePos x="0" y="0"/>
            <wp:positionH relativeFrom="column">
              <wp:posOffset>-1905</wp:posOffset>
            </wp:positionH>
            <wp:positionV relativeFrom="paragraph">
              <wp:posOffset>51435</wp:posOffset>
            </wp:positionV>
            <wp:extent cx="944880" cy="1174115"/>
            <wp:effectExtent l="0" t="0" r="0" b="0"/>
            <wp:wrapSquare wrapText="bothSides"/>
            <wp:docPr id="2" name="Picture 1" descr="C:\Users\Admin\Desktop\Personal photos\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ersonal photos\scan0006.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4880" cy="1174115"/>
                    </a:xfrm>
                    <a:prstGeom prst="rect">
                      <a:avLst/>
                    </a:prstGeom>
                    <a:noFill/>
                    <a:ln>
                      <a:noFill/>
                    </a:ln>
                  </pic:spPr>
                </pic:pic>
              </a:graphicData>
            </a:graphic>
          </wp:anchor>
        </w:drawing>
      </w:r>
    </w:p>
    <w:p w:rsidR="00AC57AE" w:rsidRDefault="00AC57AE" w:rsidP="00AC57AE">
      <w:pPr>
        <w:spacing w:before="92"/>
        <w:ind w:right="4234"/>
        <w:rPr>
          <w:rFonts w:ascii="Arial"/>
        </w:rPr>
      </w:pPr>
      <w:r>
        <w:rPr>
          <w:rFonts w:ascii="Arial"/>
          <w:color w:val="BF5A14"/>
        </w:rPr>
        <w:t>Biography</w:t>
      </w:r>
    </w:p>
    <w:p w:rsidR="00AC57AE" w:rsidRDefault="00AC57AE" w:rsidP="00AC57AE">
      <w:pPr>
        <w:spacing w:before="41" w:line="154" w:lineRule="exact"/>
        <w:ind w:left="213" w:right="231"/>
        <w:jc w:val="both"/>
        <w:rPr>
          <w:rFonts w:ascii="Arial"/>
          <w:sz w:val="14"/>
        </w:rPr>
      </w:pPr>
      <w:r>
        <w:rPr>
          <w:rFonts w:ascii="Arial"/>
          <w:sz w:val="14"/>
        </w:rPr>
        <w:t xml:space="preserve">Dr B.H. Sripathi Rao, Professor and Head of the Department of Oral and Maxillofacial Surgery is the present Principal/ Dean of Yenepoya Dental College,Yenepoya ( Deemed to be University), Mangalore, Karnataka, India. He has wide experience in Orthognathic surgeries, Facial Trauma, Oral Cancer surgeries, Pathologies and Cleft Surgeries .He has been in maxillofacial Surgery teaching and training program for more than 35 years now with numerous publications and had been invited guest speaker to various international and national forums .He was also an executive member of the Dental Council Of India ,the ultimate body that makes decisions for dentistry in India . </w:t>
      </w:r>
    </w:p>
    <w:p w:rsidR="00AC57AE" w:rsidRDefault="00AC57AE" w:rsidP="00AC57AE">
      <w:pPr>
        <w:spacing w:before="62"/>
        <w:ind w:left="4217" w:right="4235"/>
        <w:jc w:val="center"/>
        <w:rPr>
          <w:rFonts w:ascii="Arial"/>
          <w:sz w:val="14"/>
        </w:rPr>
      </w:pPr>
      <w:r>
        <w:rPr>
          <w:rFonts w:ascii="Arial"/>
          <w:sz w:val="14"/>
        </w:rPr>
        <w:t xml:space="preserve">Email: </w:t>
      </w:r>
      <w:hyperlink r:id="rId15" w:history="1">
        <w:r w:rsidRPr="00C247AF">
          <w:rPr>
            <w:rStyle w:val="Hyperlink"/>
            <w:rFonts w:ascii="Arial"/>
            <w:sz w:val="14"/>
          </w:rPr>
          <w:t>drbhsrao@hotmail.com</w:t>
        </w:r>
      </w:hyperlink>
    </w:p>
    <w:p w:rsidR="00AE3E37" w:rsidRDefault="00FE306E">
      <w:pPr>
        <w:pStyle w:val="BodyText"/>
        <w:spacing w:before="2"/>
        <w:rPr>
          <w:rFonts w:ascii="Arial"/>
          <w:sz w:val="19"/>
        </w:rPr>
      </w:pPr>
      <w:r w:rsidRPr="00FE306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AC57AE" w:rsidRDefault="00AE3E37" w:rsidP="00AC57AE">
      <w:pPr>
        <w:spacing w:before="39"/>
        <w:rPr>
          <w:rFonts w:ascii="Minion Pro"/>
          <w:b/>
          <w:sz w:val="20"/>
        </w:rPr>
        <w:sectPr w:rsidR="00AE3E37" w:rsidRPr="00AC57AE">
          <w:headerReference w:type="default" r:id="rId16"/>
          <w:footerReference w:type="default" r:id="rId1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685" w:rsidRDefault="00A02685">
      <w:r>
        <w:separator/>
      </w:r>
    </w:p>
  </w:endnote>
  <w:endnote w:type="continuationSeparator" w:id="1">
    <w:p w:rsidR="00A02685" w:rsidRDefault="00A0268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E" w:rsidRDefault="00AC57AE">
    <w:pPr>
      <w:pStyle w:val="BodyText"/>
      <w:spacing w:line="14" w:lineRule="auto"/>
      <w:rPr>
        <w:sz w:val="20"/>
      </w:rPr>
    </w:pPr>
    <w:r w:rsidRPr="00EF6EDA">
      <w:rPr>
        <w:noProof/>
        <w:lang w:val="en-IN" w:eastAsia="en-IN"/>
      </w:rPr>
      <w:pict>
        <v:shapetype id="_x0000_t202" coordsize="21600,21600" o:spt="202" path="m,l,21600r21600,l21600,xe">
          <v:stroke joinstyle="miter"/>
          <v:path gradientshapeok="t" o:connecttype="rect"/>
        </v:shapetype>
        <v:shape id="_x0000_s4104" type="#_x0000_t202" style="position:absolute;margin-left:252.1pt;margin-top:799.05pt;width:91.9pt;height:24.95pt;z-index:-2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style="mso-next-textbox:#_x0000_s4104" inset="0,0,0,0">
            <w:txbxContent>
              <w:p w:rsidR="00AC57AE" w:rsidRPr="005B3A56" w:rsidRDefault="00AC57A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C57AE" w:rsidRPr="005B3A56" w:rsidRDefault="00AC57A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306E">
    <w:pPr>
      <w:pStyle w:val="BodyText"/>
      <w:spacing w:line="14" w:lineRule="auto"/>
      <w:rPr>
        <w:sz w:val="20"/>
      </w:rPr>
    </w:pPr>
    <w:r w:rsidRPr="00FE306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E306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E306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685" w:rsidRDefault="00A02685">
      <w:r>
        <w:separator/>
      </w:r>
    </w:p>
  </w:footnote>
  <w:footnote w:type="continuationSeparator" w:id="1">
    <w:p w:rsidR="00A02685" w:rsidRDefault="00A026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AE" w:rsidRDefault="00AC57AE">
    <w:pPr>
      <w:pStyle w:val="BodyText"/>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E306E">
    <w:pPr>
      <w:pStyle w:val="BodyText"/>
      <w:spacing w:line="14" w:lineRule="auto"/>
      <w:rPr>
        <w:sz w:val="20"/>
      </w:rPr>
    </w:pPr>
    <w:r w:rsidRPr="00FE306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E306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2685"/>
    <w:rsid w:val="00A07E82"/>
    <w:rsid w:val="00A9710C"/>
    <w:rsid w:val="00AC57AE"/>
    <w:rsid w:val="00AE3E37"/>
    <w:rsid w:val="00B21A57"/>
    <w:rsid w:val="00C33602"/>
    <w:rsid w:val="00CD6F55"/>
    <w:rsid w:val="00D62425"/>
    <w:rsid w:val="00DE3104"/>
    <w:rsid w:val="00F72EEA"/>
    <w:rsid w:val="00F8136A"/>
    <w:rsid w:val="00F84CAE"/>
    <w:rsid w:val="00FE306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ixed-citation">
    <w:name w:val="mixed-citation"/>
    <w:basedOn w:val="DefaultParagraphFont"/>
    <w:rsid w:val="00AC57AE"/>
  </w:style>
  <w:style w:type="character" w:customStyle="1" w:styleId="ref-title">
    <w:name w:val="ref-title"/>
    <w:basedOn w:val="DefaultParagraphFont"/>
    <w:rsid w:val="00AC57AE"/>
  </w:style>
  <w:style w:type="character" w:customStyle="1" w:styleId="ref-journal">
    <w:name w:val="ref-journal"/>
    <w:basedOn w:val="DefaultParagraphFont"/>
    <w:rsid w:val="00AC57AE"/>
  </w:style>
  <w:style w:type="character" w:customStyle="1" w:styleId="ref-vol">
    <w:name w:val="ref-vol"/>
    <w:basedOn w:val="DefaultParagraphFont"/>
    <w:rsid w:val="00AC57AE"/>
  </w:style>
  <w:style w:type="character" w:customStyle="1" w:styleId="ref-iss">
    <w:name w:val="ref-iss"/>
    <w:basedOn w:val="DefaultParagraphFont"/>
    <w:rsid w:val="00AC57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mc/articles/PMC575082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term=Manisali%20M%5BAuthor%5D&amp;cauthor=true&amp;cauthor_uid=29354309"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Naini%20FB%5BAuthor%5D&amp;cauthor=true&amp;cauthor_uid=29354309" TargetMode="External"/><Relationship Id="rId5" Type="http://schemas.openxmlformats.org/officeDocument/2006/relationships/footnotes" Target="footnotes.xml"/><Relationship Id="rId15" Type="http://schemas.openxmlformats.org/officeDocument/2006/relationships/hyperlink" Target="mailto:drbhsrao@hotmail.com" TargetMode="External"/><Relationship Id="rId10" Type="http://schemas.openxmlformats.org/officeDocument/2006/relationships/hyperlink" Target="https://www.ncbi.nlm.nih.gov/pubmed/?term=Khamashta-Ledezma%20L%5BAuthor%5D&amp;cauthor=true&amp;cauthor_uid=2935430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cp:revision>
  <dcterms:created xsi:type="dcterms:W3CDTF">2018-06-22T14:45:00Z</dcterms:created>
  <dcterms:modified xsi:type="dcterms:W3CDTF">2018-06-22T14:45:00Z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2016-08-23T00:00:00Z</vt:filetime>
  </property>
  <property fmtid="{D5CDD505-2E9C-101B-9397-08002B2CF9AE}" name="Creator" pid="3">
    <vt:lpwstr>Adobe InDesign CC 2015 (Windows)</vt:lpwstr>
  </property>
  <property fmtid="{D5CDD505-2E9C-101B-9397-08002B2CF9AE}" name="LastSaved" pid="4">
    <vt:filetime>2016-08-23T00:00:00Z</vt:filetime>
  </property>
  <property fmtid="{D5CDD505-2E9C-101B-9397-08002B2CF9AE}" name="NXPowerLiteLastOptimized" pid="5">
    <vt:lpwstr>228373</vt:lpwstr>
  </property>
  <property fmtid="{D5CDD505-2E9C-101B-9397-08002B2CF9AE}" name="NXPowerLiteSettings" pid="6">
    <vt:lpwstr>C7000400038000</vt:lpwstr>
  </property>
  <property fmtid="{D5CDD505-2E9C-101B-9397-08002B2CF9AE}" name="NXPowerLiteVersion" pid="7">
    <vt:lpwstr>S8.2.1</vt:lpwstr>
  </property>
</Properties>
</file>