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71E2C" w14:textId="737D46F6" w:rsidR="0078526C" w:rsidRPr="0078526C" w:rsidRDefault="0078526C" w:rsidP="00494130">
      <w:pPr>
        <w:pStyle w:val="Heading1"/>
        <w:spacing w:before="170"/>
        <w:ind w:left="0"/>
        <w:rPr>
          <w:color w:val="337AB7"/>
        </w:rPr>
      </w:pPr>
      <w:r w:rsidRPr="0078526C">
        <w:rPr>
          <w:color w:val="337AB7"/>
        </w:rPr>
        <w:t>Limiting RyR2 Open Time Prevents Alzheimer-related Neuronal Hyperactivity and Memory Loss but not β-amyloid Accumulation</w:t>
      </w:r>
    </w:p>
    <w:p w14:paraId="6B32902A" w14:textId="15ABBEA8" w:rsidR="0078738A" w:rsidRDefault="0078738A" w:rsidP="0078526C">
      <w:pPr>
        <w:pStyle w:val="BodyText"/>
        <w:spacing w:before="73" w:line="198" w:lineRule="exact"/>
        <w:ind w:right="5987"/>
        <w:rPr>
          <w:rFonts w:ascii="Arial"/>
        </w:rPr>
      </w:pPr>
      <w:r>
        <w:rPr>
          <w:rFonts w:ascii="Arial"/>
        </w:rPr>
        <w:t xml:space="preserve">Dr </w:t>
      </w:r>
      <w:r w:rsidR="0078526C">
        <w:rPr>
          <w:rFonts w:ascii="Arial"/>
        </w:rPr>
        <w:t>Jinjing Yao</w:t>
      </w:r>
      <w:r w:rsidR="005973B9">
        <w:rPr>
          <w:rFonts w:ascii="Arial"/>
        </w:rPr>
        <w:t xml:space="preserve">, PhD, </w:t>
      </w:r>
      <w:r w:rsidR="0078526C">
        <w:rPr>
          <w:rFonts w:ascii="Arial"/>
        </w:rPr>
        <w:t>University of Calgary</w:t>
      </w:r>
      <w:r w:rsidR="005973B9">
        <w:rPr>
          <w:rFonts w:ascii="Arial"/>
        </w:rPr>
        <w:t xml:space="preserve">, </w:t>
      </w:r>
      <w:r w:rsidR="0078526C">
        <w:rPr>
          <w:rFonts w:ascii="Arial"/>
        </w:rPr>
        <w:t>Canada</w:t>
      </w:r>
      <w:r w:rsidR="005973B9">
        <w:rPr>
          <w:rFonts w:ascii="Arial"/>
        </w:rPr>
        <w:t xml:space="preserve"> </w:t>
      </w:r>
    </w:p>
    <w:p w14:paraId="3829EA62" w14:textId="4152B45B" w:rsidR="00AE3E37" w:rsidRDefault="0078526C">
      <w:pPr>
        <w:pStyle w:val="BodyText"/>
        <w:rPr>
          <w:rFonts w:ascii="Arial"/>
          <w:sz w:val="20"/>
        </w:rPr>
      </w:pPr>
      <w:r w:rsidRPr="0078526C">
        <w:rPr>
          <w:rFonts w:ascii="Arial"/>
        </w:rPr>
        <w:t xml:space="preserve">Jinjing Yao, Bo Sun, Adam </w:t>
      </w:r>
      <w:proofErr w:type="spellStart"/>
      <w:r w:rsidRPr="0078526C">
        <w:rPr>
          <w:rFonts w:ascii="Arial"/>
        </w:rPr>
        <w:t>Institoris</w:t>
      </w:r>
      <w:proofErr w:type="spellEnd"/>
      <w:r w:rsidRPr="0078526C">
        <w:rPr>
          <w:rFonts w:ascii="Arial"/>
        </w:rPr>
        <w:t xml:space="preserve">, </w:t>
      </w:r>
      <w:proofErr w:type="spellStart"/>
      <w:r w:rsidRPr="0078526C">
        <w:rPr>
          <w:rFonts w:ascii="Arial"/>
        </w:rPr>
        <w:t>Xiaoqin</w:t>
      </w:r>
      <w:proofErr w:type="spellEnd"/>
      <w:r w:rsidRPr="0078526C">
        <w:rPr>
          <w:rFonts w:ascii="Arial"/>
        </w:rPr>
        <w:t xml:space="preserve"> Zhan, </w:t>
      </w:r>
      <w:proofErr w:type="spellStart"/>
      <w:r w:rsidRPr="0078526C">
        <w:rPr>
          <w:rFonts w:ascii="Arial"/>
        </w:rPr>
        <w:t>Wenting</w:t>
      </w:r>
      <w:proofErr w:type="spellEnd"/>
      <w:r w:rsidRPr="0078526C">
        <w:rPr>
          <w:rFonts w:ascii="Arial"/>
        </w:rPr>
        <w:t xml:space="preserve"> Guo, </w:t>
      </w:r>
      <w:proofErr w:type="spellStart"/>
      <w:r w:rsidRPr="0078526C">
        <w:rPr>
          <w:rFonts w:ascii="Arial"/>
        </w:rPr>
        <w:t>Zhenpeng</w:t>
      </w:r>
      <w:proofErr w:type="spellEnd"/>
      <w:r w:rsidRPr="0078526C">
        <w:rPr>
          <w:rFonts w:ascii="Arial"/>
        </w:rPr>
        <w:t xml:space="preserve"> Song, </w:t>
      </w:r>
      <w:proofErr w:type="spellStart"/>
      <w:r w:rsidRPr="0078526C">
        <w:rPr>
          <w:rFonts w:ascii="Arial"/>
        </w:rPr>
        <w:t>Yajing</w:t>
      </w:r>
      <w:proofErr w:type="spellEnd"/>
      <w:r w:rsidRPr="0078526C">
        <w:rPr>
          <w:rFonts w:ascii="Arial"/>
        </w:rPr>
        <w:t xml:space="preserve"> Liu, Florian </w:t>
      </w:r>
      <w:proofErr w:type="spellStart"/>
      <w:r w:rsidRPr="0078526C">
        <w:rPr>
          <w:rFonts w:ascii="Arial"/>
        </w:rPr>
        <w:t>Hiess</w:t>
      </w:r>
      <w:proofErr w:type="spellEnd"/>
      <w:r w:rsidRPr="0078526C">
        <w:rPr>
          <w:rFonts w:ascii="Arial"/>
        </w:rPr>
        <w:t xml:space="preserve">, Andrew K.J. Boyce, </w:t>
      </w:r>
      <w:proofErr w:type="spellStart"/>
      <w:r w:rsidRPr="0078526C">
        <w:rPr>
          <w:rFonts w:ascii="Arial"/>
        </w:rPr>
        <w:t>Mingke</w:t>
      </w:r>
      <w:proofErr w:type="spellEnd"/>
      <w:r w:rsidRPr="0078526C">
        <w:rPr>
          <w:rFonts w:ascii="Arial"/>
        </w:rPr>
        <w:t xml:space="preserve"> Ni, </w:t>
      </w:r>
      <w:proofErr w:type="spellStart"/>
      <w:r w:rsidRPr="0078526C">
        <w:rPr>
          <w:rFonts w:ascii="Arial"/>
        </w:rPr>
        <w:t>Ruiwu</w:t>
      </w:r>
      <w:proofErr w:type="spellEnd"/>
      <w:r w:rsidRPr="0078526C">
        <w:rPr>
          <w:rFonts w:ascii="Arial"/>
        </w:rPr>
        <w:t xml:space="preserve"> Wang, Henk </w:t>
      </w:r>
      <w:proofErr w:type="spellStart"/>
      <w:r w:rsidRPr="0078526C">
        <w:rPr>
          <w:rFonts w:ascii="Arial"/>
        </w:rPr>
        <w:t>ter</w:t>
      </w:r>
      <w:proofErr w:type="spellEnd"/>
      <w:r w:rsidRPr="0078526C">
        <w:rPr>
          <w:rFonts w:ascii="Arial"/>
        </w:rPr>
        <w:t xml:space="preserve"> </w:t>
      </w:r>
      <w:proofErr w:type="spellStart"/>
      <w:r w:rsidRPr="0078526C">
        <w:rPr>
          <w:rFonts w:ascii="Arial"/>
        </w:rPr>
        <w:t>Keurs</w:t>
      </w:r>
      <w:proofErr w:type="spellEnd"/>
      <w:r w:rsidRPr="0078526C">
        <w:rPr>
          <w:rFonts w:ascii="Arial"/>
        </w:rPr>
        <w:t>, Thomas G. Back, Michael Fill, Roger J. Thompson, Ray W. Turner, Grant R. Gordon, and S. R. Wayne Chen</w:t>
      </w:r>
    </w:p>
    <w:p w14:paraId="3B118645" w14:textId="77777777" w:rsidR="00AE3E37" w:rsidRDefault="00AE3E37">
      <w:pPr>
        <w:pStyle w:val="BodyText"/>
        <w:spacing w:before="3"/>
        <w:rPr>
          <w:rFonts w:ascii="Arial"/>
          <w:sz w:val="21"/>
        </w:rPr>
      </w:pPr>
    </w:p>
    <w:p w14:paraId="2A58E8A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E1EB24" w14:textId="77777777" w:rsidR="00AE3E37" w:rsidRDefault="00A9710C">
      <w:pPr>
        <w:pStyle w:val="Heading3"/>
        <w:spacing w:before="147"/>
        <w:jc w:val="both"/>
      </w:pPr>
      <w:r>
        <w:rPr>
          <w:color w:val="BF5A14"/>
        </w:rPr>
        <w:t>Abstract</w:t>
      </w:r>
      <w:r w:rsidR="00404E5B">
        <w:rPr>
          <w:color w:val="BF5A14"/>
        </w:rPr>
        <w:t xml:space="preserve"> (300 word limit)</w:t>
      </w:r>
    </w:p>
    <w:p w14:paraId="52E5851D" w14:textId="77777777" w:rsidR="003D6F37" w:rsidRDefault="0078526C" w:rsidP="003D6F37">
      <w:pPr>
        <w:pStyle w:val="Heading3"/>
        <w:spacing w:before="74" w:line="276" w:lineRule="auto"/>
        <w:rPr>
          <w:rFonts w:ascii="Tw Cen MT" w:eastAsia="Tw Cen MT" w:hAnsi="Tw Cen MT" w:cs="Tw Cen MT"/>
          <w:b w:val="0"/>
          <w:bCs w:val="0"/>
          <w:sz w:val="18"/>
          <w:szCs w:val="18"/>
        </w:rPr>
      </w:pPr>
      <w:r w:rsidRPr="0078526C">
        <w:rPr>
          <w:rFonts w:ascii="Tw Cen MT" w:eastAsia="Tw Cen MT" w:hAnsi="Tw Cen MT" w:cs="Tw Cen MT"/>
          <w:b w:val="0"/>
          <w:bCs w:val="0"/>
          <w:sz w:val="18"/>
          <w:szCs w:val="18"/>
        </w:rPr>
        <w:t xml:space="preserve">Neuronal hyperactivity is an early primary dysfunction in Alzheimer’s disease (AD) in humans and animal models, yet effective neuronal hyperactivity-directed anti-AD therapeutics are lacking. Here, we define a previously unknown mode of ryanodine receptor 2 (RyR2) control of neuronal hyperactivity and AD progression. We show that a single RyR2 point mutation E4872Q, which reduces RyR2 open time, prevents hyperexcitability, hyperactivity, memory impairment, neuronal cell death, and dendritic spine loss in a severe, early-onset AD mouse model (5xFAD). The RyR2-E4872Q mutation upregulates hippocampal CA1-pyramidal cell A-type K+ current, a well-known neuronal excitability control that is downregulated in AD. Pharmacologically limiting RyR2 open time with the R-carvedilol enantiomer (but not racemic carvedilol) prevents and rescues neuronal hyperactivity, memory impairment, and neuron loss even in late stages of AD. These AD-related deficits were prevented even with continued </w:t>
      </w:r>
      <w:r w:rsidRPr="0078526C">
        <w:rPr>
          <w:rFonts w:ascii="Cambria" w:eastAsia="Tw Cen MT" w:hAnsi="Cambria" w:cs="Cambria"/>
          <w:b w:val="0"/>
          <w:bCs w:val="0"/>
          <w:sz w:val="18"/>
          <w:szCs w:val="18"/>
        </w:rPr>
        <w:t>β</w:t>
      </w:r>
      <w:r w:rsidRPr="0078526C">
        <w:rPr>
          <w:rFonts w:ascii="Tw Cen MT" w:eastAsia="Tw Cen MT" w:hAnsi="Tw Cen MT" w:cs="Tw Cen MT"/>
          <w:b w:val="0"/>
          <w:bCs w:val="0"/>
          <w:sz w:val="18"/>
          <w:szCs w:val="18"/>
        </w:rPr>
        <w:t>-amyloid accumulation. Thus, limiting RyR2 open time may offer a hyperactivity-directed, non-</w:t>
      </w:r>
      <w:r w:rsidRPr="0078526C">
        <w:rPr>
          <w:rFonts w:ascii="Cambria" w:eastAsia="Tw Cen MT" w:hAnsi="Cambria" w:cs="Cambria"/>
          <w:b w:val="0"/>
          <w:bCs w:val="0"/>
          <w:sz w:val="18"/>
          <w:szCs w:val="18"/>
        </w:rPr>
        <w:t>β</w:t>
      </w:r>
      <w:r w:rsidRPr="0078526C">
        <w:rPr>
          <w:rFonts w:ascii="Tw Cen MT" w:eastAsia="Tw Cen MT" w:hAnsi="Tw Cen MT" w:cs="Tw Cen MT"/>
          <w:b w:val="0"/>
          <w:bCs w:val="0"/>
          <w:sz w:val="18"/>
          <w:szCs w:val="18"/>
        </w:rPr>
        <w:t>-amyloid-targeted, anti-AD strategy.</w:t>
      </w:r>
    </w:p>
    <w:p w14:paraId="4A3092A9" w14:textId="097D65CC" w:rsidR="003D6F37" w:rsidRDefault="003D6F37" w:rsidP="003D6F37">
      <w:pPr>
        <w:pStyle w:val="Heading3"/>
        <w:spacing w:before="74" w:line="360" w:lineRule="auto"/>
        <w:rPr>
          <w:color w:val="BF5A14"/>
        </w:rPr>
      </w:pPr>
      <w:r>
        <w:rPr>
          <w:color w:val="BF5A14"/>
        </w:rPr>
        <w:t>Image</w:t>
      </w:r>
    </w:p>
    <w:p w14:paraId="2AB6FC22" w14:textId="48F36098" w:rsidR="003D6F37" w:rsidRDefault="003D6F37" w:rsidP="003D6F37">
      <w:pPr>
        <w:pStyle w:val="Heading3"/>
        <w:spacing w:before="74" w:line="360" w:lineRule="auto"/>
      </w:pPr>
      <w:r>
        <w:rPr>
          <w:b w:val="0"/>
          <w:noProof/>
          <w:sz w:val="16"/>
        </w:rPr>
        <w:drawing>
          <wp:inline distT="0" distB="0" distL="0" distR="0" wp14:anchorId="3BCD828F" wp14:editId="13184447">
            <wp:extent cx="3017520" cy="176022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8043" cy="1760525"/>
                    </a:xfrm>
                    <a:prstGeom prst="rect">
                      <a:avLst/>
                    </a:prstGeom>
                  </pic:spPr>
                </pic:pic>
              </a:graphicData>
            </a:graphic>
          </wp:inline>
        </w:drawing>
      </w:r>
    </w:p>
    <w:p w14:paraId="02F2ABA1" w14:textId="72B56BC0" w:rsidR="005973B9" w:rsidRDefault="00A9710C" w:rsidP="003D6F37">
      <w:pPr>
        <w:pStyle w:val="Heading3"/>
        <w:spacing w:before="74" w:line="360" w:lineRule="auto"/>
        <w:rPr>
          <w:b w:val="0"/>
        </w:rPr>
      </w:pPr>
      <w:r>
        <w:rPr>
          <w:b w:val="0"/>
        </w:rPr>
        <w:br w:type="column"/>
      </w:r>
      <w:r w:rsidR="005973B9">
        <w:rPr>
          <w:color w:val="BF5A14"/>
        </w:rPr>
        <w:t>Recent Publications (minimum 5)</w:t>
      </w:r>
    </w:p>
    <w:p w14:paraId="79F9DE71" w14:textId="09B5B65B" w:rsidR="005973B9" w:rsidRDefault="003D6F37" w:rsidP="005973B9">
      <w:pPr>
        <w:pStyle w:val="ListParagraph"/>
        <w:numPr>
          <w:ilvl w:val="0"/>
          <w:numId w:val="3"/>
        </w:numPr>
        <w:tabs>
          <w:tab w:val="left" w:pos="384"/>
        </w:tabs>
        <w:spacing w:line="216" w:lineRule="exact"/>
        <w:ind w:right="137" w:hanging="283"/>
        <w:rPr>
          <w:sz w:val="18"/>
        </w:rPr>
      </w:pPr>
      <w:r w:rsidRPr="003D6F37">
        <w:rPr>
          <w:sz w:val="18"/>
        </w:rPr>
        <w:t xml:space="preserve">Sun, B., Yao, J., Chen, A. W., </w:t>
      </w:r>
      <w:proofErr w:type="spellStart"/>
      <w:r w:rsidRPr="003D6F37">
        <w:rPr>
          <w:sz w:val="18"/>
        </w:rPr>
        <w:t>Estillore</w:t>
      </w:r>
      <w:proofErr w:type="spellEnd"/>
      <w:r w:rsidRPr="003D6F37">
        <w:rPr>
          <w:sz w:val="18"/>
        </w:rPr>
        <w:t>, J. P., Wang, R., Back, T. G., &amp; Chen, S. W. (2021). Genetically and Pharmacologically Limiting RyR2 Open Time Prevents Neuronal Hyperactivity of Hippocampal CA1 Neurons in Brain Slices of 5xFAD Mice. Neuroscience Letters, 136011.</w:t>
      </w:r>
      <w:r w:rsidR="005973B9">
        <w:rPr>
          <w:sz w:val="18"/>
        </w:rPr>
        <w:t xml:space="preserve">Heilig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14:paraId="7539CCA8" w14:textId="32247DEA" w:rsidR="003D6F37" w:rsidRDefault="003D6F37" w:rsidP="005973B9">
      <w:pPr>
        <w:pStyle w:val="ListParagraph"/>
        <w:numPr>
          <w:ilvl w:val="0"/>
          <w:numId w:val="3"/>
        </w:numPr>
        <w:tabs>
          <w:tab w:val="left" w:pos="384"/>
        </w:tabs>
        <w:spacing w:before="92" w:line="218" w:lineRule="exact"/>
        <w:ind w:hanging="283"/>
        <w:rPr>
          <w:sz w:val="18"/>
        </w:rPr>
      </w:pPr>
      <w:r w:rsidRPr="003D6F37">
        <w:rPr>
          <w:sz w:val="18"/>
        </w:rPr>
        <w:t>Liu, Y., Yao, J., Song, Z., Guo, W., Sun, B., Wei, J., ... &amp; Chen, S. W. (2021). Limiting RyR2 open time prevents Alzheimer's disease‐related deficits in the 3xTG‐AD mouse model. Journal of Neuroscience Research.</w:t>
      </w:r>
    </w:p>
    <w:p w14:paraId="3CFF4E9A" w14:textId="2498F1A5" w:rsidR="003D6F37" w:rsidRPr="003D6F37" w:rsidRDefault="003D6F37"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3D6F37">
        <w:rPr>
          <w:rFonts w:asciiTheme="minorHAnsi" w:hAnsiTheme="minorHAnsi" w:cstheme="minorHAnsi"/>
          <w:color w:val="222222"/>
          <w:sz w:val="18"/>
          <w:szCs w:val="18"/>
          <w:shd w:val="clear" w:color="auto" w:fill="FFFFFF"/>
        </w:rPr>
        <w:t xml:space="preserve">Wei, J., Yao, J., </w:t>
      </w:r>
      <w:proofErr w:type="spellStart"/>
      <w:r w:rsidRPr="003D6F37">
        <w:rPr>
          <w:rFonts w:asciiTheme="minorHAnsi" w:hAnsiTheme="minorHAnsi" w:cstheme="minorHAnsi"/>
          <w:color w:val="222222"/>
          <w:sz w:val="18"/>
          <w:szCs w:val="18"/>
          <w:shd w:val="clear" w:color="auto" w:fill="FFFFFF"/>
        </w:rPr>
        <w:t>Belke</w:t>
      </w:r>
      <w:proofErr w:type="spellEnd"/>
      <w:r w:rsidRPr="003D6F37">
        <w:rPr>
          <w:rFonts w:asciiTheme="minorHAnsi" w:hAnsiTheme="minorHAnsi" w:cstheme="minorHAnsi"/>
          <w:color w:val="222222"/>
          <w:sz w:val="18"/>
          <w:szCs w:val="18"/>
          <w:shd w:val="clear" w:color="auto" w:fill="FFFFFF"/>
        </w:rPr>
        <w:t>, D., Guo, W., Zhong, X., Sun, B., ... &amp; Chen, S. W. (2021). Ca2+-</w:t>
      </w:r>
      <w:proofErr w:type="spellStart"/>
      <w:r w:rsidRPr="003D6F37">
        <w:rPr>
          <w:rFonts w:asciiTheme="minorHAnsi" w:hAnsiTheme="minorHAnsi" w:cstheme="minorHAnsi"/>
          <w:color w:val="222222"/>
          <w:sz w:val="18"/>
          <w:szCs w:val="18"/>
          <w:shd w:val="clear" w:color="auto" w:fill="FFFFFF"/>
        </w:rPr>
        <w:t>CaM</w:t>
      </w:r>
      <w:proofErr w:type="spellEnd"/>
      <w:r w:rsidRPr="003D6F37">
        <w:rPr>
          <w:rFonts w:asciiTheme="minorHAnsi" w:hAnsiTheme="minorHAnsi" w:cstheme="minorHAnsi"/>
          <w:color w:val="222222"/>
          <w:sz w:val="18"/>
          <w:szCs w:val="18"/>
          <w:shd w:val="clear" w:color="auto" w:fill="FFFFFF"/>
        </w:rPr>
        <w:t xml:space="preserve"> Dependent Inactivation of RyR2 Underlies Ca2+ Alternans in Intact Heart. </w:t>
      </w:r>
      <w:r w:rsidRPr="003D6F37">
        <w:rPr>
          <w:rFonts w:asciiTheme="minorHAnsi" w:hAnsiTheme="minorHAnsi" w:cstheme="minorHAnsi"/>
          <w:i/>
          <w:iCs/>
          <w:color w:val="222222"/>
          <w:sz w:val="18"/>
          <w:szCs w:val="18"/>
          <w:shd w:val="clear" w:color="auto" w:fill="FFFFFF"/>
        </w:rPr>
        <w:t>Circulation research</w:t>
      </w:r>
      <w:r w:rsidRPr="003D6F37">
        <w:rPr>
          <w:rFonts w:asciiTheme="minorHAnsi" w:hAnsiTheme="minorHAnsi" w:cstheme="minorHAnsi"/>
          <w:color w:val="222222"/>
          <w:sz w:val="18"/>
          <w:szCs w:val="18"/>
          <w:shd w:val="clear" w:color="auto" w:fill="FFFFFF"/>
        </w:rPr>
        <w:t>, </w:t>
      </w:r>
      <w:r w:rsidRPr="003D6F37">
        <w:rPr>
          <w:rFonts w:asciiTheme="minorHAnsi" w:hAnsiTheme="minorHAnsi" w:cstheme="minorHAnsi"/>
          <w:i/>
          <w:iCs/>
          <w:color w:val="222222"/>
          <w:sz w:val="18"/>
          <w:szCs w:val="18"/>
          <w:shd w:val="clear" w:color="auto" w:fill="FFFFFF"/>
        </w:rPr>
        <w:t>128</w:t>
      </w:r>
      <w:r w:rsidRPr="003D6F37">
        <w:rPr>
          <w:rFonts w:asciiTheme="minorHAnsi" w:hAnsiTheme="minorHAnsi" w:cstheme="minorHAnsi"/>
          <w:color w:val="222222"/>
          <w:sz w:val="18"/>
          <w:szCs w:val="18"/>
          <w:shd w:val="clear" w:color="auto" w:fill="FFFFFF"/>
        </w:rPr>
        <w:t>(4), e63-e83.</w:t>
      </w:r>
    </w:p>
    <w:p w14:paraId="1A7B09EE" w14:textId="3B069C1B" w:rsidR="003D6F37" w:rsidRPr="003D6F37" w:rsidRDefault="003D6F37"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3D6F37">
        <w:rPr>
          <w:rFonts w:asciiTheme="minorHAnsi" w:hAnsiTheme="minorHAnsi" w:cstheme="minorHAnsi"/>
          <w:color w:val="222222"/>
          <w:sz w:val="18"/>
          <w:szCs w:val="18"/>
          <w:shd w:val="clear" w:color="auto" w:fill="FFFFFF"/>
        </w:rPr>
        <w:t>Sun, B., Yao, J., Ni, M., Wei, J., Zhong, X., Guo, W., ... &amp; Chen, S. W. (2021). Cardiac ryanodine receptor calcium release deficiency syndrome. </w:t>
      </w:r>
      <w:r w:rsidRPr="003D6F37">
        <w:rPr>
          <w:rFonts w:asciiTheme="minorHAnsi" w:hAnsiTheme="minorHAnsi" w:cstheme="minorHAnsi"/>
          <w:i/>
          <w:iCs/>
          <w:color w:val="222222"/>
          <w:sz w:val="18"/>
          <w:szCs w:val="18"/>
          <w:shd w:val="clear" w:color="auto" w:fill="FFFFFF"/>
        </w:rPr>
        <w:t>Science translational medicine</w:t>
      </w:r>
      <w:r w:rsidRPr="003D6F37">
        <w:rPr>
          <w:rFonts w:asciiTheme="minorHAnsi" w:hAnsiTheme="minorHAnsi" w:cstheme="minorHAnsi"/>
          <w:color w:val="222222"/>
          <w:sz w:val="18"/>
          <w:szCs w:val="18"/>
          <w:shd w:val="clear" w:color="auto" w:fill="FFFFFF"/>
        </w:rPr>
        <w:t>, </w:t>
      </w:r>
      <w:r w:rsidRPr="003D6F37">
        <w:rPr>
          <w:rFonts w:asciiTheme="minorHAnsi" w:hAnsiTheme="minorHAnsi" w:cstheme="minorHAnsi"/>
          <w:i/>
          <w:iCs/>
          <w:color w:val="222222"/>
          <w:sz w:val="18"/>
          <w:szCs w:val="18"/>
          <w:shd w:val="clear" w:color="auto" w:fill="FFFFFF"/>
        </w:rPr>
        <w:t>13</w:t>
      </w:r>
      <w:r w:rsidRPr="003D6F37">
        <w:rPr>
          <w:rFonts w:asciiTheme="minorHAnsi" w:hAnsiTheme="minorHAnsi" w:cstheme="minorHAnsi"/>
          <w:color w:val="222222"/>
          <w:sz w:val="18"/>
          <w:szCs w:val="18"/>
          <w:shd w:val="clear" w:color="auto" w:fill="FFFFFF"/>
        </w:rPr>
        <w:t>(579).</w:t>
      </w:r>
    </w:p>
    <w:p w14:paraId="749E3B91" w14:textId="2E101DFC" w:rsidR="003D6F37" w:rsidRPr="003D6F37" w:rsidRDefault="003D6F37"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3D6F37">
        <w:rPr>
          <w:rFonts w:asciiTheme="minorHAnsi" w:hAnsiTheme="minorHAnsi" w:cstheme="minorHAnsi"/>
          <w:color w:val="222222"/>
          <w:sz w:val="18"/>
          <w:szCs w:val="18"/>
          <w:shd w:val="clear" w:color="auto" w:fill="FFFFFF"/>
        </w:rPr>
        <w:t xml:space="preserve">Yao, J., Sun, B., </w:t>
      </w:r>
      <w:proofErr w:type="spellStart"/>
      <w:r w:rsidRPr="003D6F37">
        <w:rPr>
          <w:rFonts w:asciiTheme="minorHAnsi" w:hAnsiTheme="minorHAnsi" w:cstheme="minorHAnsi"/>
          <w:color w:val="222222"/>
          <w:sz w:val="18"/>
          <w:szCs w:val="18"/>
          <w:shd w:val="clear" w:color="auto" w:fill="FFFFFF"/>
        </w:rPr>
        <w:t>Institoris</w:t>
      </w:r>
      <w:proofErr w:type="spellEnd"/>
      <w:r w:rsidRPr="003D6F37">
        <w:rPr>
          <w:rFonts w:asciiTheme="minorHAnsi" w:hAnsiTheme="minorHAnsi" w:cstheme="minorHAnsi"/>
          <w:color w:val="222222"/>
          <w:sz w:val="18"/>
          <w:szCs w:val="18"/>
          <w:shd w:val="clear" w:color="auto" w:fill="FFFFFF"/>
        </w:rPr>
        <w:t>, A., Zhan, X., Guo, W., Song, Z., ... &amp; Chen, S. W. (2020). Limiting RyR2 Open Time Prevents Alzheimer’s Disease-Related Neuronal Hyperactivity and Memory Loss but Not β-Amyloid Accumulation. </w:t>
      </w:r>
      <w:r w:rsidRPr="003D6F37">
        <w:rPr>
          <w:rFonts w:asciiTheme="minorHAnsi" w:hAnsiTheme="minorHAnsi" w:cstheme="minorHAnsi"/>
          <w:i/>
          <w:iCs/>
          <w:color w:val="222222"/>
          <w:sz w:val="18"/>
          <w:szCs w:val="18"/>
          <w:shd w:val="clear" w:color="auto" w:fill="FFFFFF"/>
        </w:rPr>
        <w:t>Cell reports</w:t>
      </w:r>
      <w:r w:rsidRPr="003D6F37">
        <w:rPr>
          <w:rFonts w:asciiTheme="minorHAnsi" w:hAnsiTheme="minorHAnsi" w:cstheme="minorHAnsi"/>
          <w:color w:val="222222"/>
          <w:sz w:val="18"/>
          <w:szCs w:val="18"/>
          <w:shd w:val="clear" w:color="auto" w:fill="FFFFFF"/>
        </w:rPr>
        <w:t>, </w:t>
      </w:r>
      <w:r w:rsidRPr="003D6F37">
        <w:rPr>
          <w:rFonts w:asciiTheme="minorHAnsi" w:hAnsiTheme="minorHAnsi" w:cstheme="minorHAnsi"/>
          <w:i/>
          <w:iCs/>
          <w:color w:val="222222"/>
          <w:sz w:val="18"/>
          <w:szCs w:val="18"/>
          <w:shd w:val="clear" w:color="auto" w:fill="FFFFFF"/>
        </w:rPr>
        <w:t>32</w:t>
      </w:r>
      <w:r w:rsidRPr="003D6F37">
        <w:rPr>
          <w:rFonts w:asciiTheme="minorHAnsi" w:hAnsiTheme="minorHAnsi" w:cstheme="minorHAnsi"/>
          <w:color w:val="222222"/>
          <w:sz w:val="18"/>
          <w:szCs w:val="18"/>
          <w:shd w:val="clear" w:color="auto" w:fill="FFFFFF"/>
        </w:rPr>
        <w:t>(12), 108169.</w:t>
      </w:r>
    </w:p>
    <w:p w14:paraId="3B5B2197" w14:textId="77777777" w:rsidR="003D6F37" w:rsidRPr="003D6F37" w:rsidRDefault="003D6F37" w:rsidP="003D6F37">
      <w:pPr>
        <w:pStyle w:val="ListParagraph"/>
        <w:tabs>
          <w:tab w:val="left" w:pos="384"/>
        </w:tabs>
        <w:spacing w:before="92" w:line="218" w:lineRule="exact"/>
        <w:ind w:firstLine="0"/>
        <w:rPr>
          <w:rFonts w:asciiTheme="minorHAnsi" w:hAnsiTheme="minorHAnsi" w:cstheme="minorHAnsi"/>
          <w:sz w:val="18"/>
          <w:szCs w:val="18"/>
        </w:rPr>
      </w:pPr>
    </w:p>
    <w:p w14:paraId="65850BE0" w14:textId="77777777" w:rsidR="00AE3E37" w:rsidRPr="008756E6" w:rsidRDefault="00AE3E37" w:rsidP="008756E6">
      <w:pPr>
        <w:tabs>
          <w:tab w:val="left" w:pos="384"/>
        </w:tabs>
        <w:ind w:right="117"/>
      </w:pPr>
    </w:p>
    <w:p w14:paraId="3C256FD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4027F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F4992D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8E83BA7" wp14:editId="0045781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6174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93C5E2" w14:textId="6300AB80" w:rsidR="00AE3E37" w:rsidRDefault="008756E6" w:rsidP="00404E5B">
      <w:pPr>
        <w:spacing w:before="92"/>
        <w:ind w:right="4234"/>
        <w:rPr>
          <w:rFonts w:ascii="Arial"/>
        </w:rPr>
      </w:pPr>
      <w:r>
        <w:rPr>
          <w:noProof/>
        </w:rPr>
        <w:t xml:space="preserve">              </w:t>
      </w:r>
      <w:r w:rsidR="0078526C">
        <w:rPr>
          <w:noProof/>
          <w:lang w:val="en-IN" w:eastAsia="en-IN"/>
        </w:rPr>
        <w:drawing>
          <wp:inline distT="0" distB="0" distL="0" distR="0" wp14:anchorId="6B26CD27" wp14:editId="0B98FC7C">
            <wp:extent cx="609600" cy="853703"/>
            <wp:effectExtent l="0" t="0" r="0" b="3810"/>
            <wp:docPr id="12" name="Picture 12"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wearing glasses&#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09600" cy="85370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41B5647" w14:textId="4DD36D58" w:rsidR="00AE3E37" w:rsidRDefault="0078526C">
      <w:pPr>
        <w:spacing w:before="41" w:line="154" w:lineRule="exact"/>
        <w:ind w:left="213" w:right="231"/>
        <w:jc w:val="both"/>
        <w:rPr>
          <w:rFonts w:ascii="Arial"/>
          <w:sz w:val="14"/>
        </w:rPr>
      </w:pPr>
      <w:r>
        <w:rPr>
          <w:rFonts w:ascii="Arial"/>
          <w:sz w:val="14"/>
        </w:rPr>
        <w:t xml:space="preserve">Dr. </w:t>
      </w:r>
      <w:r w:rsidRPr="0078526C">
        <w:rPr>
          <w:rFonts w:ascii="Arial"/>
          <w:sz w:val="14"/>
        </w:rPr>
        <w:t>Jinjing Yao has completed his PhD from Fudan University, China in 2014. In 2015, he joined Dr. Wayne Chen</w:t>
      </w:r>
      <w:r w:rsidRPr="0078526C">
        <w:rPr>
          <w:rFonts w:ascii="Arial"/>
          <w:sz w:val="14"/>
        </w:rPr>
        <w:t>’</w:t>
      </w:r>
      <w:r w:rsidRPr="0078526C">
        <w:rPr>
          <w:rFonts w:ascii="Arial"/>
          <w:sz w:val="14"/>
        </w:rPr>
        <w:t xml:space="preserve">s lab in the University of Calgary as a postdoc to study the roles of calcium release channels (ryanodine receptors, </w:t>
      </w:r>
      <w:proofErr w:type="spellStart"/>
      <w:r w:rsidRPr="0078526C">
        <w:rPr>
          <w:rFonts w:ascii="Arial"/>
          <w:sz w:val="14"/>
        </w:rPr>
        <w:t>RyRs</w:t>
      </w:r>
      <w:proofErr w:type="spellEnd"/>
      <w:r w:rsidRPr="0078526C">
        <w:rPr>
          <w:rFonts w:ascii="Arial"/>
          <w:sz w:val="14"/>
        </w:rPr>
        <w:t xml:space="preserve"> and inositol 1, 4, 5-trisphosphate receptors, IP3Rs) in the control of membrane excitability and calcium homeostasis in cardiomyocytes and neurons, and their pathological significance in heart diseases such as cardiac arrhythmias and cardiomyopathies, and neurodegenerative disorders such as Alzheimer</w:t>
      </w:r>
      <w:r w:rsidRPr="0078526C">
        <w:rPr>
          <w:rFonts w:ascii="Arial"/>
          <w:sz w:val="14"/>
        </w:rPr>
        <w:t>’</w:t>
      </w:r>
      <w:r w:rsidRPr="0078526C">
        <w:rPr>
          <w:rFonts w:ascii="Arial"/>
          <w:sz w:val="14"/>
        </w:rPr>
        <w:t xml:space="preserve">s disease. He has been a research associate in the University of Calgary since 2021 and continues to discover the functions of </w:t>
      </w:r>
      <w:proofErr w:type="spellStart"/>
      <w:r w:rsidRPr="0078526C">
        <w:rPr>
          <w:rFonts w:ascii="Arial"/>
          <w:sz w:val="14"/>
        </w:rPr>
        <w:t>RyRs</w:t>
      </w:r>
      <w:proofErr w:type="spellEnd"/>
      <w:r w:rsidRPr="0078526C">
        <w:rPr>
          <w:rFonts w:ascii="Arial"/>
          <w:sz w:val="14"/>
        </w:rPr>
        <w:t xml:space="preserve"> and ITPRs in the control of neuronal excitability.</w:t>
      </w:r>
    </w:p>
    <w:p w14:paraId="67C9C033" w14:textId="225EFB18" w:rsidR="00AE3E37" w:rsidRDefault="00A9710C">
      <w:pPr>
        <w:spacing w:before="62"/>
        <w:ind w:left="4217" w:right="4235"/>
        <w:jc w:val="center"/>
        <w:rPr>
          <w:rFonts w:ascii="Arial"/>
          <w:sz w:val="14"/>
        </w:rPr>
      </w:pPr>
      <w:r>
        <w:rPr>
          <w:rFonts w:ascii="Arial"/>
          <w:sz w:val="14"/>
        </w:rPr>
        <w:t xml:space="preserve">Email: </w:t>
      </w:r>
      <w:hyperlink r:id="rId11" w:history="1">
        <w:r w:rsidR="0078526C" w:rsidRPr="00166561">
          <w:rPr>
            <w:rStyle w:val="Hyperlink"/>
            <w:rFonts w:ascii="Arial"/>
            <w:sz w:val="14"/>
          </w:rPr>
          <w:t>jinjing.yao@ucalgary.ca</w:t>
        </w:r>
      </w:hyperlink>
    </w:p>
    <w:p w14:paraId="41DF5FA2"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7A39F4E" wp14:editId="2B232D3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4EE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164B467" w14:textId="77777777" w:rsidR="00AE3E37" w:rsidRDefault="00AE3E37">
      <w:pPr>
        <w:pStyle w:val="BodyText"/>
        <w:rPr>
          <w:rFonts w:ascii="Arial"/>
          <w:sz w:val="20"/>
        </w:rPr>
      </w:pPr>
    </w:p>
    <w:p w14:paraId="7F699221" w14:textId="77777777" w:rsidR="00AE3E37" w:rsidRDefault="00AE3E37">
      <w:pPr>
        <w:pStyle w:val="BodyText"/>
        <w:rPr>
          <w:rFonts w:ascii="Arial"/>
          <w:sz w:val="20"/>
        </w:rPr>
      </w:pPr>
    </w:p>
    <w:p w14:paraId="1017FD78" w14:textId="77777777" w:rsidR="00AE3E37" w:rsidRDefault="00AE3E37">
      <w:pPr>
        <w:pStyle w:val="BodyText"/>
        <w:spacing w:before="7"/>
        <w:rPr>
          <w:rFonts w:ascii="Arial"/>
          <w:sz w:val="29"/>
        </w:rPr>
      </w:pPr>
    </w:p>
    <w:p w14:paraId="03639347" w14:textId="77777777" w:rsidR="00AE3E37" w:rsidRPr="00B21A57" w:rsidRDefault="00A9710C">
      <w:pPr>
        <w:spacing w:before="39"/>
        <w:ind w:left="100"/>
        <w:rPr>
          <w:rFonts w:ascii="Minion Pro"/>
          <w:b/>
          <w:sz w:val="20"/>
        </w:rPr>
      </w:pPr>
      <w:r w:rsidRPr="00B21A57">
        <w:rPr>
          <w:rFonts w:ascii="Minion Pro"/>
          <w:b/>
          <w:sz w:val="20"/>
        </w:rPr>
        <w:t>Notes/Comments:</w:t>
      </w:r>
    </w:p>
    <w:p w14:paraId="1E15C47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1FC40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55D1A" w14:textId="77777777" w:rsidR="00AF1308" w:rsidRDefault="00AF1308">
      <w:r>
        <w:separator/>
      </w:r>
    </w:p>
  </w:endnote>
  <w:endnote w:type="continuationSeparator" w:id="0">
    <w:p w14:paraId="6C4B2D3C" w14:textId="77777777" w:rsidR="00AF1308" w:rsidRDefault="00AF1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E35F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42F3BAC" wp14:editId="1310F9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3E9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5F0D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F3BA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1F3E9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5F0D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D49DA13" wp14:editId="653FBB8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0AC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3549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9DA1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1E0AC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35498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0A25D3" wp14:editId="7559EC3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0368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078393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A25D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E40368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078393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BCA14" w14:textId="77777777" w:rsidR="00AF1308" w:rsidRDefault="00AF1308">
      <w:r>
        <w:separator/>
      </w:r>
    </w:p>
  </w:footnote>
  <w:footnote w:type="continuationSeparator" w:id="0">
    <w:p w14:paraId="52BFC9D6" w14:textId="77777777" w:rsidR="00AF1308" w:rsidRDefault="00AF1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699C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1B56C5E" wp14:editId="780B0D0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6D3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56C5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5C6D3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B002FFE" wp14:editId="313E0AC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442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98BDA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02FF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0F442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98BDA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3D6F37"/>
    <w:rsid w:val="00404E5B"/>
    <w:rsid w:val="00414F7B"/>
    <w:rsid w:val="004355DC"/>
    <w:rsid w:val="004749B4"/>
    <w:rsid w:val="00494130"/>
    <w:rsid w:val="004F3523"/>
    <w:rsid w:val="005973B9"/>
    <w:rsid w:val="005B3A56"/>
    <w:rsid w:val="006060CE"/>
    <w:rsid w:val="0063497F"/>
    <w:rsid w:val="0078526C"/>
    <w:rsid w:val="0078738A"/>
    <w:rsid w:val="00873DF0"/>
    <w:rsid w:val="008756E6"/>
    <w:rsid w:val="009B2D44"/>
    <w:rsid w:val="00A07E82"/>
    <w:rsid w:val="00A9710C"/>
    <w:rsid w:val="00AE3E37"/>
    <w:rsid w:val="00AF1308"/>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69450"/>
  <w15:docId w15:val="{5492CCEA-727D-499C-986A-FD6D7BDD5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85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njing.yao@ucalgary.c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金晶 姚</cp:lastModifiedBy>
  <cp:revision>2</cp:revision>
  <dcterms:created xsi:type="dcterms:W3CDTF">2021-11-03T04:51:00Z</dcterms:created>
  <dcterms:modified xsi:type="dcterms:W3CDTF">2021-11-03T04:51:00Z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